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37" w:rsidRDefault="00EB5B37">
      <w:pPr>
        <w:jc w:val="center"/>
        <w:rPr>
          <w:rFonts w:cs="Times New Roman"/>
          <w:b/>
          <w:bCs/>
          <w:i/>
          <w:iCs/>
          <w:sz w:val="36"/>
          <w:szCs w:val="36"/>
        </w:rPr>
      </w:pPr>
      <w:r>
        <w:rPr>
          <w:rFonts w:cs="Times New Roman"/>
          <w:b/>
          <w:bCs/>
          <w:i/>
          <w:iCs/>
          <w:sz w:val="36"/>
          <w:szCs w:val="36"/>
        </w:rPr>
        <w:t>Примiтки до рiчної фiнансової звiтностi</w:t>
      </w:r>
    </w:p>
    <w:p w:rsidR="00EB5B37" w:rsidRDefault="00EB5B37">
      <w:pPr>
        <w:jc w:val="center"/>
        <w:rPr>
          <w:rFonts w:cs="Times New Roman"/>
          <w:b/>
          <w:bCs/>
          <w:i/>
          <w:iCs/>
          <w:sz w:val="36"/>
          <w:szCs w:val="36"/>
        </w:rPr>
      </w:pPr>
      <w:r>
        <w:rPr>
          <w:rFonts w:cs="Times New Roman"/>
          <w:b/>
          <w:bCs/>
          <w:i/>
          <w:iCs/>
          <w:sz w:val="36"/>
          <w:szCs w:val="36"/>
        </w:rPr>
        <w:t>ПАТ«Вiнницький асфальтобетонний завод»</w:t>
      </w:r>
    </w:p>
    <w:p w:rsidR="00EB5B37" w:rsidRDefault="00EB5B37">
      <w:pPr>
        <w:jc w:val="center"/>
        <w:rPr>
          <w:rFonts w:cs="Times New Roman"/>
          <w:b/>
          <w:bCs/>
          <w:i/>
          <w:iCs/>
          <w:sz w:val="36"/>
          <w:szCs w:val="36"/>
        </w:rPr>
      </w:pPr>
      <w:r>
        <w:rPr>
          <w:rFonts w:cs="Times New Roman"/>
          <w:b/>
          <w:bCs/>
          <w:i/>
          <w:iCs/>
          <w:sz w:val="36"/>
          <w:szCs w:val="36"/>
        </w:rPr>
        <w:t>за 2015 рiк</w:t>
      </w:r>
    </w:p>
    <w:p w:rsidR="00EB5B37" w:rsidRDefault="00EB5B37">
      <w:pPr>
        <w:rPr>
          <w:rFonts w:cs="Times New Roman"/>
        </w:rPr>
      </w:pPr>
    </w:p>
    <w:p w:rsidR="00EB5B37" w:rsidRDefault="00EB5B37">
      <w:pPr>
        <w:rPr>
          <w:rFonts w:cs="Times New Roman"/>
        </w:rPr>
      </w:pPr>
    </w:p>
    <w:p w:rsidR="00EB5B37" w:rsidRDefault="00EB5B37">
      <w:pPr>
        <w:pStyle w:val="ListParagraph"/>
        <w:numPr>
          <w:ilvl w:val="0"/>
          <w:numId w:val="2"/>
        </w:numPr>
        <w:rPr>
          <w:rFonts w:cs="Times New Roman"/>
          <w:b/>
          <w:bCs/>
          <w:i/>
          <w:iCs/>
        </w:rPr>
      </w:pPr>
      <w:r>
        <w:rPr>
          <w:rFonts w:cs="Times New Roman"/>
          <w:b/>
          <w:bCs/>
          <w:i/>
          <w:iCs/>
        </w:rPr>
        <w:t xml:space="preserve">ЗАГАЛЬНА IНФОРМАЦIЯ </w:t>
      </w:r>
    </w:p>
    <w:p w:rsidR="00EB5B37" w:rsidRDefault="00EB5B37">
      <w:pPr>
        <w:pStyle w:val="ListParagraph"/>
        <w:ind w:left="927" w:firstLine="0"/>
        <w:rPr>
          <w:rFonts w:cs="Times New Roman"/>
          <w:b/>
          <w:bCs/>
          <w:i/>
          <w:iCs/>
        </w:rPr>
      </w:pPr>
    </w:p>
    <w:p w:rsidR="00EB5B37" w:rsidRDefault="00EB5B37">
      <w:pPr>
        <w:ind w:firstLine="0"/>
        <w:rPr>
          <w:rFonts w:cs="Times New Roman"/>
        </w:rPr>
      </w:pPr>
      <w:r>
        <w:rPr>
          <w:rFonts w:cs="Times New Roman"/>
          <w:b/>
          <w:bCs/>
          <w:i/>
          <w:iCs/>
        </w:rPr>
        <w:t xml:space="preserve">Адреса: </w:t>
      </w:r>
      <w:r>
        <w:rPr>
          <w:rFonts w:cs="Times New Roman"/>
        </w:rPr>
        <w:t>21032, Вiнницька обл., м. Вiнниця, пров. Грибоєдова №10.</w:t>
      </w:r>
    </w:p>
    <w:p w:rsidR="00EB5B37" w:rsidRDefault="00EB5B37">
      <w:pPr>
        <w:ind w:firstLine="0"/>
        <w:rPr>
          <w:rFonts w:cs="Times New Roman"/>
        </w:rPr>
      </w:pPr>
      <w:r>
        <w:rPr>
          <w:rFonts w:cs="Times New Roman"/>
          <w:b/>
          <w:bCs/>
          <w:i/>
          <w:iCs/>
        </w:rPr>
        <w:t xml:space="preserve">Органiзацiйно-правова форма: </w:t>
      </w:r>
      <w:r>
        <w:rPr>
          <w:rFonts w:cs="Times New Roman"/>
        </w:rPr>
        <w:t>публiчне акцiонерне товариство.</w:t>
      </w:r>
    </w:p>
    <w:p w:rsidR="00EB5B37" w:rsidRDefault="00EB5B37">
      <w:pPr>
        <w:ind w:firstLine="0"/>
        <w:rPr>
          <w:rFonts w:cs="Times New Roman"/>
        </w:rPr>
      </w:pPr>
      <w:r>
        <w:rPr>
          <w:rFonts w:cs="Times New Roman"/>
          <w:b/>
          <w:bCs/>
          <w:i/>
          <w:iCs/>
        </w:rPr>
        <w:t>Дата першого застосування МСФЗ:</w:t>
      </w:r>
      <w:r>
        <w:rPr>
          <w:rFonts w:cs="Times New Roman"/>
        </w:rPr>
        <w:t xml:space="preserve"> 01.01.2012 року.</w:t>
      </w:r>
    </w:p>
    <w:p w:rsidR="00EB5B37" w:rsidRDefault="00EB5B37">
      <w:pPr>
        <w:ind w:firstLine="0"/>
        <w:rPr>
          <w:rFonts w:cs="Times New Roman"/>
        </w:rPr>
      </w:pPr>
      <w:r>
        <w:rPr>
          <w:rFonts w:cs="Times New Roman"/>
          <w:b/>
          <w:bCs/>
          <w:i/>
          <w:iCs/>
        </w:rPr>
        <w:t>Звiтна дата за звiтний перiод:</w:t>
      </w:r>
      <w:r>
        <w:rPr>
          <w:rFonts w:cs="Times New Roman"/>
        </w:rPr>
        <w:t xml:space="preserve"> 31 грудня 2015 року за 2015 рiк.</w:t>
      </w:r>
    </w:p>
    <w:p w:rsidR="00EB5B37" w:rsidRDefault="00EB5B37">
      <w:pPr>
        <w:ind w:firstLine="0"/>
        <w:rPr>
          <w:rFonts w:cs="Times New Roman"/>
        </w:rPr>
      </w:pPr>
      <w:r>
        <w:rPr>
          <w:rFonts w:cs="Times New Roman"/>
          <w:b/>
          <w:bCs/>
          <w:i/>
          <w:iCs/>
        </w:rPr>
        <w:t>Валюта звiтностi</w:t>
      </w:r>
      <w:r>
        <w:rPr>
          <w:rFonts w:cs="Times New Roman"/>
        </w:rPr>
        <w:t xml:space="preserve"> - гривня, одиницi вимiру – тис. грн.</w:t>
      </w:r>
    </w:p>
    <w:p w:rsidR="00EB5B37" w:rsidRDefault="00EB5B37">
      <w:pPr>
        <w:ind w:firstLine="0"/>
        <w:rPr>
          <w:rFonts w:cs="Times New Roman"/>
        </w:rPr>
      </w:pPr>
      <w:r>
        <w:rPr>
          <w:rFonts w:cs="Times New Roman"/>
          <w:b/>
          <w:bCs/>
          <w:i/>
          <w:iCs/>
        </w:rPr>
        <w:t>Види дiяльностi:</w:t>
      </w:r>
      <w:r>
        <w:rPr>
          <w:rFonts w:cs="Times New Roman"/>
        </w:rPr>
        <w:t xml:space="preserve"> ПАТ «Вiнницький асфальтобетонний завод», пiдприємство, яке здiйснює виробництво неметалевих мiнеральних виробів</w:t>
      </w:r>
    </w:p>
    <w:p w:rsidR="00EB5B37" w:rsidRDefault="00EB5B37">
      <w:pPr>
        <w:ind w:firstLine="0"/>
        <w:rPr>
          <w:rFonts w:cs="Times New Roman"/>
        </w:rPr>
      </w:pPr>
    </w:p>
    <w:p w:rsidR="00EB5B37" w:rsidRDefault="00EB5B37">
      <w:pPr>
        <w:jc w:val="center"/>
        <w:rPr>
          <w:rFonts w:cs="Times New Roman"/>
          <w:b/>
          <w:bCs/>
          <w:i/>
          <w:iCs/>
          <w:lang w:val="ru-RU"/>
        </w:rPr>
      </w:pPr>
      <w:r>
        <w:rPr>
          <w:rFonts w:cs="Times New Roman"/>
          <w:b/>
          <w:bCs/>
          <w:i/>
          <w:iCs/>
        </w:rPr>
        <w:t xml:space="preserve">ОРГАНIЗАЦIЙНА СТРУКТУРА </w:t>
      </w:r>
    </w:p>
    <w:p w:rsidR="00EB5B37" w:rsidRDefault="00EB5B37">
      <w:pPr>
        <w:jc w:val="center"/>
        <w:rPr>
          <w:rFonts w:cs="Times New Roman"/>
          <w:b/>
          <w:bCs/>
          <w:i/>
          <w:iCs/>
        </w:rPr>
      </w:pPr>
      <w:r>
        <w:rPr>
          <w:rFonts w:cs="Times New Roman"/>
          <w:b/>
          <w:bCs/>
          <w:i/>
          <w:iCs/>
        </w:rPr>
        <w:t>ПАТ «ВIННИЦЬКИЙ АСФАЛЬТОБЕТОННИЙ ЗАВОД»:</w:t>
      </w:r>
    </w:p>
    <w:p w:rsidR="00EB5B37" w:rsidRDefault="00EB5B37">
      <w:pPr>
        <w:rPr>
          <w:rFonts w:cs="Times New Roman"/>
        </w:rPr>
      </w:pPr>
    </w:p>
    <w:p w:rsidR="00EB5B37" w:rsidRDefault="00EB5B37">
      <w:pPr>
        <w:rPr>
          <w:rFonts w:cs="Times New Roman"/>
        </w:rPr>
      </w:pPr>
      <w:r>
        <w:rPr>
          <w:rFonts w:cs="Times New Roman"/>
        </w:rPr>
        <w:t>Корпоративне управлiння ПАТ «Вiнницький асфальтобетонний завод» зосереджується на створеннi системи важелiв i противаг, що забезпечують узгодження iнтересiв Наглядової ради та Правлiння Товариства, акцiонерiв Товариства, та iнших зацiкавлених осiб. Органами управлiння ПАТ «Вiнницький асфальтобетонний завод» є:</w:t>
      </w:r>
    </w:p>
    <w:p w:rsidR="00EB5B37" w:rsidRDefault="00EB5B37">
      <w:pPr>
        <w:rPr>
          <w:rFonts w:cs="Times New Roman"/>
        </w:rPr>
      </w:pPr>
    </w:p>
    <w:p w:rsidR="00EB5B37" w:rsidRDefault="00EB5B37">
      <w:pPr>
        <w:rPr>
          <w:rFonts w:cs="Times New Roman"/>
        </w:rPr>
      </w:pPr>
      <w:r>
        <w:rPr>
          <w:rFonts w:cs="Times New Roman"/>
        </w:rPr>
        <w:t>·</w:t>
      </w:r>
      <w:r>
        <w:rPr>
          <w:rFonts w:cs="Times New Roman"/>
        </w:rPr>
        <w:tab/>
        <w:t>Загальнi Збори Товариства;</w:t>
      </w:r>
    </w:p>
    <w:p w:rsidR="00EB5B37" w:rsidRDefault="00EB5B37">
      <w:pPr>
        <w:rPr>
          <w:rFonts w:cs="Times New Roman"/>
        </w:rPr>
      </w:pPr>
      <w:r>
        <w:rPr>
          <w:rFonts w:cs="Times New Roman"/>
        </w:rPr>
        <w:t>·</w:t>
      </w:r>
      <w:r>
        <w:rPr>
          <w:rFonts w:cs="Times New Roman"/>
        </w:rPr>
        <w:tab/>
        <w:t>Наглядова рада Товариства;</w:t>
      </w:r>
    </w:p>
    <w:p w:rsidR="00EB5B37" w:rsidRDefault="00EB5B37">
      <w:pPr>
        <w:rPr>
          <w:rFonts w:cs="Times New Roman"/>
        </w:rPr>
      </w:pPr>
      <w:r>
        <w:rPr>
          <w:rFonts w:cs="Times New Roman"/>
        </w:rPr>
        <w:t>·</w:t>
      </w:r>
      <w:r>
        <w:rPr>
          <w:rFonts w:cs="Times New Roman"/>
        </w:rPr>
        <w:tab/>
        <w:t>Правлiння Товариства.</w:t>
      </w:r>
    </w:p>
    <w:p w:rsidR="00EB5B37" w:rsidRDefault="00EB5B37">
      <w:pPr>
        <w:rPr>
          <w:rFonts w:cs="Times New Roman"/>
        </w:rPr>
      </w:pPr>
    </w:p>
    <w:p w:rsidR="00EB5B37" w:rsidRDefault="00EB5B37">
      <w:pPr>
        <w:rPr>
          <w:rFonts w:cs="Times New Roman"/>
        </w:rPr>
      </w:pPr>
      <w:r>
        <w:rPr>
          <w:rFonts w:cs="Times New Roman"/>
        </w:rPr>
        <w:t>Органами контролю ПАТ «Вiнницький</w:t>
      </w:r>
      <w:r>
        <w:rPr>
          <w:rFonts w:cs="Times New Roman"/>
          <w:lang w:val="ru-RU"/>
        </w:rPr>
        <w:t xml:space="preserve"> </w:t>
      </w:r>
      <w:r>
        <w:rPr>
          <w:rFonts w:cs="Times New Roman"/>
        </w:rPr>
        <w:t>асфальтобетонний завод» є:</w:t>
      </w:r>
    </w:p>
    <w:p w:rsidR="00EB5B37" w:rsidRDefault="00EB5B37">
      <w:pPr>
        <w:rPr>
          <w:rFonts w:cs="Times New Roman"/>
        </w:rPr>
      </w:pPr>
    </w:p>
    <w:p w:rsidR="00EB5B37" w:rsidRDefault="00EB5B37">
      <w:pPr>
        <w:rPr>
          <w:rFonts w:cs="Times New Roman"/>
        </w:rPr>
      </w:pPr>
      <w:r>
        <w:rPr>
          <w:rFonts w:cs="Times New Roman"/>
        </w:rPr>
        <w:t>·</w:t>
      </w:r>
      <w:r>
        <w:rPr>
          <w:rFonts w:cs="Times New Roman"/>
        </w:rPr>
        <w:tab/>
        <w:t>Ревiзiйна комiсiя(ревiзор) Товариства;</w:t>
      </w:r>
    </w:p>
    <w:p w:rsidR="00EB5B37" w:rsidRDefault="00EB5B37">
      <w:pPr>
        <w:rPr>
          <w:rFonts w:cs="Times New Roman"/>
        </w:rPr>
      </w:pPr>
      <w:r>
        <w:rPr>
          <w:rFonts w:cs="Times New Roman"/>
        </w:rPr>
        <w:t>·</w:t>
      </w:r>
      <w:r>
        <w:rPr>
          <w:rFonts w:cs="Times New Roman"/>
        </w:rPr>
        <w:tab/>
        <w:t>Внутрiшнiй аудит не створено.</w:t>
      </w:r>
    </w:p>
    <w:p w:rsidR="00EB5B37" w:rsidRDefault="00EB5B37">
      <w:pPr>
        <w:rPr>
          <w:rFonts w:cs="Times New Roman"/>
        </w:rPr>
      </w:pPr>
    </w:p>
    <w:p w:rsidR="00EB5B37" w:rsidRDefault="00EB5B37">
      <w:pPr>
        <w:rPr>
          <w:rFonts w:cs="Times New Roman"/>
        </w:rPr>
      </w:pPr>
      <w:r>
        <w:rPr>
          <w:rFonts w:cs="Times New Roman"/>
          <w:b/>
          <w:bCs/>
          <w:i/>
          <w:iCs/>
        </w:rPr>
        <w:t>Загальнi Збори ПАТ «Вiнницький асфальтобетонний завод»</w:t>
      </w:r>
      <w:r>
        <w:rPr>
          <w:rFonts w:cs="Times New Roman"/>
        </w:rPr>
        <w:t xml:space="preserve"> є вищим органом Товариства, що вирiшують глобальнi питання, вiднесенi до їх компетенцiї законодавством України та Статутом.</w:t>
      </w:r>
    </w:p>
    <w:p w:rsidR="00EB5B37" w:rsidRDefault="00EB5B37">
      <w:pPr>
        <w:rPr>
          <w:rFonts w:cs="Times New Roman"/>
        </w:rPr>
      </w:pPr>
      <w:r>
        <w:rPr>
          <w:rFonts w:cs="Times New Roman"/>
        </w:rPr>
        <w:t>До виключної компетенцiї Загальних Зборiв вiдносяться:</w:t>
      </w:r>
    </w:p>
    <w:p w:rsidR="00EB5B37" w:rsidRDefault="00EB5B37">
      <w:pPr>
        <w:rPr>
          <w:rFonts w:cs="Times New Roman"/>
        </w:rPr>
      </w:pPr>
      <w:r>
        <w:rPr>
          <w:rFonts w:cs="Times New Roman"/>
        </w:rPr>
        <w:t>·</w:t>
      </w:r>
      <w:r>
        <w:rPr>
          <w:rFonts w:cs="Times New Roman"/>
        </w:rPr>
        <w:tab/>
        <w:t>Визначення основних напрямiв дiяльностi Товариства;</w:t>
      </w:r>
    </w:p>
    <w:p w:rsidR="00EB5B37" w:rsidRDefault="00EB5B37">
      <w:pPr>
        <w:rPr>
          <w:rFonts w:cs="Times New Roman"/>
        </w:rPr>
      </w:pPr>
      <w:r>
        <w:rPr>
          <w:rFonts w:cs="Times New Roman"/>
        </w:rPr>
        <w:t>·</w:t>
      </w:r>
      <w:r>
        <w:rPr>
          <w:rFonts w:cs="Times New Roman"/>
        </w:rPr>
        <w:tab/>
        <w:t>Внесення змiн до Статуту;</w:t>
      </w:r>
    </w:p>
    <w:p w:rsidR="00EB5B37" w:rsidRDefault="00EB5B37">
      <w:pPr>
        <w:rPr>
          <w:rFonts w:cs="Times New Roman"/>
        </w:rPr>
      </w:pPr>
      <w:r>
        <w:rPr>
          <w:rFonts w:cs="Times New Roman"/>
        </w:rPr>
        <w:t>·</w:t>
      </w:r>
      <w:r>
        <w:rPr>
          <w:rFonts w:cs="Times New Roman"/>
        </w:rPr>
        <w:tab/>
        <w:t>Прийняття рiшення про анулювання викуплених акцiй;</w:t>
      </w:r>
    </w:p>
    <w:p w:rsidR="00EB5B37" w:rsidRDefault="00EB5B37">
      <w:pPr>
        <w:rPr>
          <w:rFonts w:cs="Times New Roman"/>
        </w:rPr>
      </w:pPr>
      <w:r>
        <w:rPr>
          <w:rFonts w:cs="Times New Roman"/>
        </w:rPr>
        <w:t>·</w:t>
      </w:r>
      <w:r>
        <w:rPr>
          <w:rFonts w:cs="Times New Roman"/>
        </w:rPr>
        <w:tab/>
        <w:t>Прийняття рiшення про змiну типу товариства;</w:t>
      </w:r>
    </w:p>
    <w:p w:rsidR="00EB5B37" w:rsidRDefault="00EB5B37">
      <w:pPr>
        <w:rPr>
          <w:rFonts w:cs="Times New Roman"/>
        </w:rPr>
      </w:pPr>
      <w:r>
        <w:rPr>
          <w:rFonts w:cs="Times New Roman"/>
        </w:rPr>
        <w:t>·</w:t>
      </w:r>
      <w:r>
        <w:rPr>
          <w:rFonts w:cs="Times New Roman"/>
        </w:rPr>
        <w:tab/>
        <w:t>Прийняття рiшення про розмiщення акцiй;</w:t>
      </w:r>
    </w:p>
    <w:p w:rsidR="00EB5B37" w:rsidRDefault="00EB5B37">
      <w:pPr>
        <w:rPr>
          <w:rFonts w:cs="Times New Roman"/>
        </w:rPr>
      </w:pPr>
      <w:r>
        <w:rPr>
          <w:rFonts w:cs="Times New Roman"/>
        </w:rPr>
        <w:t>·</w:t>
      </w:r>
      <w:r>
        <w:rPr>
          <w:rFonts w:cs="Times New Roman"/>
        </w:rPr>
        <w:tab/>
        <w:t>Прийняття рiшення про збiльшення статутного капiталу;</w:t>
      </w:r>
    </w:p>
    <w:p w:rsidR="00EB5B37" w:rsidRDefault="00EB5B37">
      <w:pPr>
        <w:rPr>
          <w:rFonts w:cs="Times New Roman"/>
        </w:rPr>
      </w:pPr>
      <w:r>
        <w:rPr>
          <w:rFonts w:cs="Times New Roman"/>
        </w:rPr>
        <w:t>·</w:t>
      </w:r>
      <w:r>
        <w:rPr>
          <w:rFonts w:cs="Times New Roman"/>
        </w:rPr>
        <w:tab/>
        <w:t>Прийняття рiшення про зменшення статутного капiталу;</w:t>
      </w:r>
    </w:p>
    <w:p w:rsidR="00EB5B37" w:rsidRDefault="00EB5B37">
      <w:pPr>
        <w:rPr>
          <w:rFonts w:cs="Times New Roman"/>
        </w:rPr>
      </w:pPr>
      <w:r>
        <w:rPr>
          <w:rFonts w:cs="Times New Roman"/>
        </w:rPr>
        <w:t>·</w:t>
      </w:r>
      <w:r>
        <w:rPr>
          <w:rFonts w:cs="Times New Roman"/>
        </w:rPr>
        <w:tab/>
        <w:t>Затвердження положень про Загальнi збори, Наглядову раду, Правлiння та Ревiзiйну комiсiю, а також внесення змiн до них;</w:t>
      </w:r>
    </w:p>
    <w:p w:rsidR="00EB5B37" w:rsidRDefault="00EB5B37">
      <w:pPr>
        <w:rPr>
          <w:rFonts w:cs="Times New Roman"/>
        </w:rPr>
      </w:pPr>
      <w:r>
        <w:rPr>
          <w:rFonts w:cs="Times New Roman"/>
        </w:rPr>
        <w:t>·</w:t>
      </w:r>
      <w:r>
        <w:rPr>
          <w:rFonts w:cs="Times New Roman"/>
        </w:rPr>
        <w:tab/>
        <w:t>Затвердження рiчного звiту;</w:t>
      </w:r>
    </w:p>
    <w:p w:rsidR="00EB5B37" w:rsidRDefault="00EB5B37">
      <w:pPr>
        <w:rPr>
          <w:rFonts w:cs="Times New Roman"/>
        </w:rPr>
      </w:pPr>
      <w:r>
        <w:rPr>
          <w:rFonts w:cs="Times New Roman"/>
        </w:rPr>
        <w:t>·</w:t>
      </w:r>
      <w:r>
        <w:rPr>
          <w:rFonts w:cs="Times New Roman"/>
        </w:rPr>
        <w:tab/>
        <w:t>Розподiл прибуткiв i збиткiв Товариства з урахуванням вимог передбачених законом та статутом;</w:t>
      </w:r>
    </w:p>
    <w:p w:rsidR="00EB5B37" w:rsidRDefault="00EB5B37">
      <w:pPr>
        <w:rPr>
          <w:rFonts w:cs="Times New Roman"/>
        </w:rPr>
      </w:pPr>
      <w:r>
        <w:rPr>
          <w:rFonts w:cs="Times New Roman"/>
        </w:rPr>
        <w:t>·</w:t>
      </w:r>
      <w:r>
        <w:rPr>
          <w:rFonts w:cs="Times New Roman"/>
        </w:rPr>
        <w:tab/>
        <w:t>Обрання членiв Ревiзiйної комiсiї (Ревiзора), прийняття рiшення про припинення (включаючи дострокове) їх повноважень;</w:t>
      </w:r>
    </w:p>
    <w:p w:rsidR="00EB5B37" w:rsidRDefault="00EB5B37">
      <w:pPr>
        <w:rPr>
          <w:rFonts w:cs="Times New Roman"/>
        </w:rPr>
      </w:pPr>
      <w:r>
        <w:rPr>
          <w:rFonts w:cs="Times New Roman"/>
        </w:rPr>
        <w:t>·</w:t>
      </w:r>
      <w:r>
        <w:rPr>
          <w:rFonts w:cs="Times New Roman"/>
        </w:rPr>
        <w:tab/>
        <w:t>Затвердження висновкiв Ревiзiйної комiсiї (Ревiзора);</w:t>
      </w:r>
    </w:p>
    <w:p w:rsidR="00EB5B37" w:rsidRDefault="00EB5B37">
      <w:pPr>
        <w:rPr>
          <w:rFonts w:cs="Times New Roman"/>
        </w:rPr>
      </w:pPr>
      <w:r>
        <w:rPr>
          <w:rFonts w:cs="Times New Roman"/>
        </w:rPr>
        <w:t>·</w:t>
      </w:r>
      <w:r>
        <w:rPr>
          <w:rFonts w:cs="Times New Roman"/>
        </w:rPr>
        <w:tab/>
        <w:t>Прийняття рiшення про вчинення значного правочину, якщо ринкова вартiсть майна або послуг, що є предметом такого правочину, перевищує 25 вiдсоткiв вартостi активiв за даними останньої рiчної фiнансової звiтностi ПАТ ;</w:t>
      </w:r>
    </w:p>
    <w:p w:rsidR="00EB5B37" w:rsidRDefault="00EB5B37">
      <w:pPr>
        <w:rPr>
          <w:rFonts w:cs="Times New Roman"/>
        </w:rPr>
      </w:pPr>
      <w:r>
        <w:rPr>
          <w:rFonts w:cs="Times New Roman"/>
        </w:rPr>
        <w:t>·</w:t>
      </w:r>
      <w:r>
        <w:rPr>
          <w:rFonts w:cs="Times New Roman"/>
        </w:rPr>
        <w:tab/>
        <w:t>Вирiшення iнших питань, що належать до виключної компетенцiї Загальних зборiв згiдно з цим Статутом або законом.</w:t>
      </w:r>
    </w:p>
    <w:p w:rsidR="00EB5B37" w:rsidRDefault="00EB5B37">
      <w:pPr>
        <w:rPr>
          <w:rFonts w:cs="Times New Roman"/>
        </w:rPr>
      </w:pPr>
      <w:r>
        <w:rPr>
          <w:rFonts w:cs="Times New Roman"/>
        </w:rPr>
        <w:t>·</w:t>
      </w:r>
      <w:r>
        <w:rPr>
          <w:rFonts w:cs="Times New Roman"/>
        </w:rPr>
        <w:tab/>
        <w:t>Та iншi питання господарської дiяльностi передбаченi статутом..</w:t>
      </w:r>
    </w:p>
    <w:p w:rsidR="00EB5B37" w:rsidRDefault="00EB5B37">
      <w:pPr>
        <w:rPr>
          <w:rFonts w:cs="Times New Roman"/>
        </w:rPr>
      </w:pPr>
    </w:p>
    <w:p w:rsidR="00EB5B37" w:rsidRDefault="00EB5B37">
      <w:pPr>
        <w:rPr>
          <w:rFonts w:cs="Times New Roman"/>
        </w:rPr>
      </w:pPr>
      <w:r>
        <w:rPr>
          <w:rFonts w:cs="Times New Roman"/>
          <w:b/>
          <w:bCs/>
          <w:i/>
          <w:iCs/>
        </w:rPr>
        <w:t>Наглядова рада ПАТ «Вiнницький асфальтобетонний завод»</w:t>
      </w:r>
      <w:r>
        <w:rPr>
          <w:rFonts w:cs="Times New Roman"/>
        </w:rPr>
        <w:t xml:space="preserve"> є органом, що здiйснює захист прав акцiонерiв Товариства, i в межах своєї компетенцiї, визначеної Статутом та законом, контролює та регулює дiяльнiсть Правлiння.</w:t>
      </w:r>
    </w:p>
    <w:p w:rsidR="00EB5B37" w:rsidRDefault="00EB5B37">
      <w:pPr>
        <w:rPr>
          <w:rFonts w:cs="Times New Roman"/>
        </w:rPr>
      </w:pPr>
      <w:r>
        <w:rPr>
          <w:rFonts w:cs="Times New Roman"/>
        </w:rPr>
        <w:t>До компетенцiї Наглядової ради Товариства належить вирiшення питань, передбачених законом, цим Статутом, а також переданих на вирiшення Наглядової ради Загальними зборами.</w:t>
      </w:r>
    </w:p>
    <w:p w:rsidR="00EB5B37" w:rsidRDefault="00EB5B37">
      <w:pPr>
        <w:rPr>
          <w:rFonts w:cs="Times New Roman"/>
        </w:rPr>
      </w:pPr>
    </w:p>
    <w:p w:rsidR="00EB5B37" w:rsidRDefault="00EB5B37">
      <w:pPr>
        <w:rPr>
          <w:rFonts w:cs="Times New Roman"/>
        </w:rPr>
      </w:pPr>
      <w:r>
        <w:rPr>
          <w:rFonts w:cs="Times New Roman"/>
          <w:b/>
          <w:bCs/>
          <w:i/>
          <w:iCs/>
        </w:rPr>
        <w:t xml:space="preserve">Ревiзiйна комісія (ревiзор)ПАТ «Вiнницький асфальтобетонний завод». </w:t>
      </w:r>
      <w:r>
        <w:rPr>
          <w:rFonts w:cs="Times New Roman"/>
        </w:rPr>
        <w:t xml:space="preserve">Основна функцiя Ревiзiйної комiсiї полягає у здiйсненнi контролю за фiнансово – господарською дiяльнiстю Товариства. Дiяльнiсть ревiзiйної комiсiї регламентується Положенням про ревiзiйну комiсiю, затвердженим рiшенням зборiв. </w:t>
      </w:r>
    </w:p>
    <w:p w:rsidR="00EB5B37" w:rsidRDefault="00EB5B37">
      <w:pPr>
        <w:rPr>
          <w:rFonts w:cs="Times New Roman"/>
        </w:rPr>
      </w:pPr>
    </w:p>
    <w:p w:rsidR="00EB5B37" w:rsidRDefault="00EB5B37">
      <w:pPr>
        <w:rPr>
          <w:rFonts w:cs="Times New Roman"/>
          <w:b/>
          <w:bCs/>
          <w:i/>
          <w:iCs/>
        </w:rPr>
      </w:pPr>
      <w:r>
        <w:rPr>
          <w:rFonts w:cs="Times New Roman"/>
          <w:b/>
          <w:bCs/>
          <w:i/>
          <w:iCs/>
        </w:rPr>
        <w:t>Облiкова полiтика</w:t>
      </w:r>
    </w:p>
    <w:p w:rsidR="00EB5B37" w:rsidRDefault="00EB5B37">
      <w:pPr>
        <w:rPr>
          <w:rFonts w:cs="Times New Roman"/>
        </w:rPr>
      </w:pPr>
    </w:p>
    <w:p w:rsidR="00EB5B37" w:rsidRDefault="00EB5B37">
      <w:pPr>
        <w:rPr>
          <w:rFonts w:cs="Times New Roman"/>
        </w:rPr>
      </w:pPr>
      <w:r>
        <w:rPr>
          <w:rFonts w:cs="Times New Roman"/>
        </w:rPr>
        <w:t>ПАТ «Вiнницький асфальтобетонний завод» пiд час виконання своїх функцiй керується нормативно-правовими актами України:</w:t>
      </w:r>
    </w:p>
    <w:p w:rsidR="00EB5B37" w:rsidRDefault="00EB5B37">
      <w:pPr>
        <w:rPr>
          <w:rFonts w:cs="Times New Roman"/>
        </w:rPr>
      </w:pPr>
    </w:p>
    <w:p w:rsidR="00EB5B37" w:rsidRDefault="00EB5B37">
      <w:pPr>
        <w:rPr>
          <w:rFonts w:cs="Times New Roman"/>
        </w:rPr>
      </w:pPr>
      <w:r>
        <w:rPr>
          <w:rFonts w:cs="Times New Roman"/>
        </w:rPr>
        <w:t>·</w:t>
      </w:r>
      <w:r>
        <w:rPr>
          <w:rFonts w:cs="Times New Roman"/>
        </w:rPr>
        <w:tab/>
        <w:t>Конституцiєю України ;</w:t>
      </w:r>
    </w:p>
    <w:p w:rsidR="00EB5B37" w:rsidRDefault="00EB5B37">
      <w:pPr>
        <w:rPr>
          <w:rFonts w:cs="Times New Roman"/>
        </w:rPr>
      </w:pPr>
      <w:r>
        <w:rPr>
          <w:rFonts w:cs="Times New Roman"/>
        </w:rPr>
        <w:t>·</w:t>
      </w:r>
      <w:r>
        <w:rPr>
          <w:rFonts w:cs="Times New Roman"/>
        </w:rPr>
        <w:tab/>
        <w:t>Цивiльним кодексом України вiд 16.01.2003 № 435-I\/;</w:t>
      </w:r>
    </w:p>
    <w:p w:rsidR="00EB5B37" w:rsidRDefault="00EB5B37">
      <w:pPr>
        <w:rPr>
          <w:rFonts w:cs="Times New Roman"/>
        </w:rPr>
      </w:pPr>
      <w:r>
        <w:rPr>
          <w:rFonts w:cs="Times New Roman"/>
        </w:rPr>
        <w:t>·</w:t>
      </w:r>
      <w:r>
        <w:rPr>
          <w:rFonts w:cs="Times New Roman"/>
        </w:rPr>
        <w:tab/>
        <w:t>Господарським кодексом України вiд 16.01.2003 № 436-IУ;</w:t>
      </w:r>
    </w:p>
    <w:p w:rsidR="00EB5B37" w:rsidRDefault="00EB5B37">
      <w:pPr>
        <w:rPr>
          <w:rFonts w:cs="Times New Roman"/>
        </w:rPr>
      </w:pPr>
      <w:r>
        <w:rPr>
          <w:rFonts w:cs="Times New Roman"/>
        </w:rPr>
        <w:t>·</w:t>
      </w:r>
      <w:r>
        <w:rPr>
          <w:rFonts w:cs="Times New Roman"/>
        </w:rPr>
        <w:tab/>
        <w:t>Законом України „Про запобiгання та протидiю легалiзацiї (вiдмиванню) доходiв, одержаних злочинним шляхом” вiд 28.11.2002 № 249-IУ;</w:t>
      </w:r>
    </w:p>
    <w:p w:rsidR="00EB5B37" w:rsidRDefault="00EB5B37">
      <w:pPr>
        <w:rPr>
          <w:rFonts w:cs="Times New Roman"/>
        </w:rPr>
      </w:pPr>
      <w:r>
        <w:rPr>
          <w:rFonts w:cs="Times New Roman"/>
        </w:rPr>
        <w:t>·</w:t>
      </w:r>
      <w:r>
        <w:rPr>
          <w:rFonts w:cs="Times New Roman"/>
        </w:rPr>
        <w:tab/>
        <w:t>Законом України „Про державну реєстрацiю юридичних осiб та фiзичних осiб - пiдприємцiв” від № 755-IУ;</w:t>
      </w:r>
    </w:p>
    <w:p w:rsidR="00EB5B37" w:rsidRDefault="00EB5B37">
      <w:pPr>
        <w:rPr>
          <w:rFonts w:cs="Times New Roman"/>
        </w:rPr>
      </w:pPr>
      <w:r>
        <w:rPr>
          <w:rFonts w:cs="Times New Roman"/>
        </w:rPr>
        <w:t>·</w:t>
      </w:r>
      <w:r>
        <w:rPr>
          <w:rFonts w:cs="Times New Roman"/>
        </w:rPr>
        <w:tab/>
        <w:t>Законом України „Про цiннi папери та фондовий ринок” вiд 23.02.2006 № 3480-I\/;</w:t>
      </w:r>
    </w:p>
    <w:p w:rsidR="00EB5B37" w:rsidRDefault="00EB5B37">
      <w:pPr>
        <w:rPr>
          <w:rFonts w:cs="Times New Roman"/>
        </w:rPr>
      </w:pPr>
      <w:r>
        <w:rPr>
          <w:rFonts w:cs="Times New Roman"/>
        </w:rPr>
        <w:t>·</w:t>
      </w:r>
      <w:r>
        <w:rPr>
          <w:rFonts w:cs="Times New Roman"/>
        </w:rPr>
        <w:tab/>
        <w:t>Законом України „Про бухгалтерський облiк та фiнансову звiтнiсть в Українi” вiд 16.07.1999 № 996-ХI\/;</w:t>
      </w:r>
    </w:p>
    <w:p w:rsidR="00EB5B37" w:rsidRDefault="00EB5B37">
      <w:pPr>
        <w:rPr>
          <w:rFonts w:cs="Times New Roman"/>
        </w:rPr>
      </w:pPr>
      <w:r>
        <w:rPr>
          <w:rFonts w:cs="Times New Roman"/>
        </w:rPr>
        <w:t>·</w:t>
      </w:r>
      <w:r>
        <w:rPr>
          <w:rFonts w:cs="Times New Roman"/>
        </w:rPr>
        <w:tab/>
        <w:t>Iншi Закони України;</w:t>
      </w:r>
    </w:p>
    <w:p w:rsidR="00EB5B37" w:rsidRDefault="00EB5B37">
      <w:pPr>
        <w:rPr>
          <w:rFonts w:cs="Times New Roman"/>
        </w:rPr>
      </w:pPr>
      <w:r>
        <w:rPr>
          <w:rFonts w:cs="Times New Roman"/>
        </w:rPr>
        <w:t>·</w:t>
      </w:r>
      <w:r>
        <w:rPr>
          <w:rFonts w:cs="Times New Roman"/>
        </w:rPr>
        <w:tab/>
        <w:t>Мiжнародними стандартами бухгалтерського облiку (МСБО).</w:t>
      </w:r>
    </w:p>
    <w:p w:rsidR="00EB5B37" w:rsidRDefault="00EB5B37">
      <w:pPr>
        <w:rPr>
          <w:rFonts w:cs="Times New Roman"/>
        </w:rPr>
      </w:pPr>
    </w:p>
    <w:p w:rsidR="00EB5B37" w:rsidRDefault="00EB5B37">
      <w:pPr>
        <w:rPr>
          <w:rFonts w:cs="Times New Roman"/>
          <w:b/>
          <w:bCs/>
          <w:i/>
          <w:iCs/>
        </w:rPr>
      </w:pPr>
      <w:r>
        <w:rPr>
          <w:rFonts w:cs="Times New Roman"/>
          <w:b/>
          <w:bCs/>
          <w:i/>
          <w:iCs/>
        </w:rPr>
        <w:t>2.</w:t>
      </w:r>
      <w:r>
        <w:rPr>
          <w:rFonts w:cs="Times New Roman"/>
          <w:b/>
          <w:bCs/>
          <w:i/>
          <w:iCs/>
        </w:rPr>
        <w:tab/>
        <w:t>ОСНОВНI ПРИНЦИПИ ПОДАННЯ ФIНАНСОВОЇЗВIТНОСТI</w:t>
      </w:r>
    </w:p>
    <w:p w:rsidR="00EB5B37" w:rsidRDefault="00EB5B37">
      <w:pPr>
        <w:rPr>
          <w:rFonts w:cs="Times New Roman"/>
        </w:rPr>
      </w:pPr>
    </w:p>
    <w:p w:rsidR="00EB5B37" w:rsidRDefault="00EB5B37">
      <w:pPr>
        <w:rPr>
          <w:rFonts w:cs="Times New Roman"/>
        </w:rPr>
      </w:pPr>
      <w:r>
        <w:rPr>
          <w:rFonts w:cs="Times New Roman"/>
        </w:rPr>
        <w:t>2.1 Основа подання iнформацiї</w:t>
      </w:r>
    </w:p>
    <w:p w:rsidR="00EB5B37" w:rsidRDefault="00EB5B37">
      <w:pPr>
        <w:rPr>
          <w:rFonts w:cs="Times New Roman"/>
        </w:rPr>
      </w:pPr>
    </w:p>
    <w:p w:rsidR="00EB5B37" w:rsidRDefault="00EB5B37">
      <w:pPr>
        <w:rPr>
          <w:rFonts w:cs="Times New Roman"/>
        </w:rPr>
      </w:pPr>
      <w:r>
        <w:rPr>
          <w:rFonts w:cs="Times New Roman"/>
        </w:rPr>
        <w:t>Фiнансова звiтнiсть складена вiдповiдно до Мiжнародних стандартiв фiнансової звiтностi («МСФЗ»), затвердженими Радою з мiжнародних стандартiв фiнансової звiтностi («РМСФЗ») та iнтерпретацiями, випущеними Постiйним комiтетом з iнтерпретацiй Мiжнародних стандартiв фiнансової звiтностi («ПКI МСФЗ»).</w:t>
      </w:r>
    </w:p>
    <w:p w:rsidR="00EB5B37" w:rsidRDefault="00EB5B37">
      <w:pPr>
        <w:rPr>
          <w:rFonts w:cs="Times New Roman"/>
        </w:rPr>
      </w:pPr>
      <w:r>
        <w:rPr>
          <w:rFonts w:cs="Times New Roman"/>
        </w:rPr>
        <w:t>Товариство веде бухгалтерський облiк вiдповiдно до вимог ведення бухгалтерського облiку i звiтностi в Українi. Нацiональнi принципи i вимоги до ведення бухгалтерського облiку в Українi вiдрiзняються вiд принципiв i вимог МСФЗ. Таким чином, дана фiнансова звiтнiсть, пiдготовлена на основi реєстрiв бухгалтерського облiку Товариства, мiстить коригування, необхiднi для приведення даної звiтностi у вiдповiднiсть до МСФЗ.</w:t>
      </w:r>
    </w:p>
    <w:p w:rsidR="00EB5B37" w:rsidRDefault="00EB5B37">
      <w:pPr>
        <w:rPr>
          <w:rFonts w:cs="Times New Roman"/>
        </w:rPr>
      </w:pPr>
      <w:r>
        <w:rPr>
          <w:rFonts w:cs="Times New Roman"/>
        </w:rPr>
        <w:t>Ця фiнансова звiтнiсть була пiдготовлена вiдповiдно до змiн та доповнень до МСФЗ, якi були чинними станом на 31 грудня 2015 року.</w:t>
      </w:r>
    </w:p>
    <w:p w:rsidR="00EB5B37" w:rsidRDefault="00EB5B37">
      <w:pPr>
        <w:rPr>
          <w:rFonts w:cs="Times New Roman"/>
        </w:rPr>
      </w:pPr>
      <w:r>
        <w:rPr>
          <w:rFonts w:cs="Times New Roman"/>
        </w:rPr>
        <w:t>2.2 Принцип безперервностi дiяльностi</w:t>
      </w:r>
    </w:p>
    <w:p w:rsidR="00EB5B37" w:rsidRDefault="00EB5B37">
      <w:pPr>
        <w:rPr>
          <w:rFonts w:cs="Times New Roman"/>
        </w:rPr>
      </w:pPr>
    </w:p>
    <w:p w:rsidR="00EB5B37" w:rsidRDefault="00EB5B37">
      <w:pPr>
        <w:rPr>
          <w:rFonts w:cs="Times New Roman"/>
        </w:rPr>
      </w:pPr>
      <w:r>
        <w:rPr>
          <w:rFonts w:cs="Times New Roman"/>
        </w:rPr>
        <w:t>Фiнансова звiтнiсть пiдготовлена вiдповiдно до принципу безперервностi дiяльностi Товариства, якi передбачають реалiзацiю активiв та виконання зобов'язань в ходi нормального здiйснення дiяльностi.</w:t>
      </w:r>
    </w:p>
    <w:p w:rsidR="00EB5B37" w:rsidRDefault="00EB5B37">
      <w:pPr>
        <w:rPr>
          <w:rFonts w:cs="Times New Roman"/>
        </w:rPr>
      </w:pPr>
      <w:r>
        <w:rPr>
          <w:rFonts w:cs="Times New Roman"/>
        </w:rPr>
        <w:t>Оновлення активiв Товариства, так само, як i майбутня дiяльнiсть Товариства, перебуває пiд iстотним впливом поточної та майбутньої економiчної ситуацiї середовища. Фiнансова звiтнiсть не мiстить жодних коригувань на випадок того, що Пiдприємство не зможе дотримуватися принципу безперервностi дiяльностi.</w:t>
      </w:r>
    </w:p>
    <w:p w:rsidR="00EB5B37" w:rsidRDefault="00EB5B37">
      <w:pPr>
        <w:rPr>
          <w:rFonts w:cs="Times New Roman"/>
        </w:rPr>
      </w:pPr>
    </w:p>
    <w:p w:rsidR="00EB5B37" w:rsidRDefault="00EB5B37">
      <w:pPr>
        <w:rPr>
          <w:rFonts w:cs="Times New Roman"/>
        </w:rPr>
      </w:pPr>
      <w:r>
        <w:rPr>
          <w:rFonts w:cs="Times New Roman"/>
        </w:rPr>
        <w:t>2.3 Функцiональна та презентацiйна валюта</w:t>
      </w:r>
    </w:p>
    <w:p w:rsidR="00EB5B37" w:rsidRDefault="00EB5B37">
      <w:pPr>
        <w:rPr>
          <w:rFonts w:cs="Times New Roman"/>
        </w:rPr>
      </w:pPr>
      <w:r>
        <w:rPr>
          <w:rFonts w:cs="Times New Roman"/>
        </w:rPr>
        <w:t xml:space="preserve">Керiвництво Товариства використовує гривню. </w:t>
      </w:r>
    </w:p>
    <w:p w:rsidR="00EB5B37" w:rsidRDefault="00EB5B37">
      <w:pPr>
        <w:rPr>
          <w:rFonts w:cs="Times New Roman"/>
        </w:rPr>
      </w:pPr>
      <w:r>
        <w:rPr>
          <w:rFonts w:cs="Times New Roman"/>
        </w:rPr>
        <w:t>Операцiї у валютах, вiдмiнних вiд функцiональної валюти Товариства, вважаються операцiями в iноземних валютах.</w:t>
      </w:r>
    </w:p>
    <w:p w:rsidR="00EB5B37" w:rsidRDefault="00EB5B37">
      <w:pPr>
        <w:rPr>
          <w:rFonts w:cs="Times New Roman"/>
        </w:rPr>
      </w:pPr>
      <w:r>
        <w:rPr>
          <w:rFonts w:cs="Times New Roman"/>
        </w:rPr>
        <w:t>Операцiї в iноземнiй валютi первiсно враховуються в функцiональнiй валютi за курсом, чинним на дату операцiї.</w:t>
      </w:r>
    </w:p>
    <w:p w:rsidR="00EB5B37" w:rsidRDefault="00EB5B37">
      <w:pPr>
        <w:rPr>
          <w:rFonts w:cs="Times New Roman"/>
        </w:rPr>
      </w:pPr>
    </w:p>
    <w:p w:rsidR="00EB5B37" w:rsidRDefault="00EB5B37">
      <w:pPr>
        <w:rPr>
          <w:rFonts w:cs="Times New Roman"/>
        </w:rPr>
      </w:pPr>
      <w:r>
        <w:rPr>
          <w:rFonts w:cs="Times New Roman"/>
        </w:rPr>
        <w:t>2.4 Метод нарахування</w:t>
      </w:r>
    </w:p>
    <w:p w:rsidR="00EB5B37" w:rsidRDefault="00EB5B37">
      <w:pPr>
        <w:rPr>
          <w:rFonts w:cs="Times New Roman"/>
        </w:rPr>
      </w:pPr>
    </w:p>
    <w:p w:rsidR="00EB5B37" w:rsidRDefault="00EB5B37">
      <w:pPr>
        <w:rPr>
          <w:rFonts w:cs="Times New Roman"/>
        </w:rPr>
      </w:pPr>
      <w:r>
        <w:rPr>
          <w:rFonts w:cs="Times New Roman"/>
        </w:rPr>
        <w:t>Фiнансова звiтнiсть складена на основi методу нарахування. Результати операцiй та iнших подiй визнавалися за фактом їх здiйснення, а не на момент отримання або виплати грошових коштiв, вiдбивалися в облiкових записах i включалися у фiнансову звiтнiсть перiодiв, до яких вони вiдносяться.</w:t>
      </w:r>
    </w:p>
    <w:p w:rsidR="00EB5B37" w:rsidRDefault="00EB5B37">
      <w:pPr>
        <w:rPr>
          <w:rFonts w:cs="Times New Roman"/>
        </w:rPr>
      </w:pPr>
    </w:p>
    <w:p w:rsidR="00EB5B37" w:rsidRDefault="00EB5B37">
      <w:pPr>
        <w:rPr>
          <w:rFonts w:cs="Times New Roman"/>
        </w:rPr>
      </w:pPr>
      <w:r>
        <w:rPr>
          <w:rFonts w:cs="Times New Roman"/>
        </w:rPr>
        <w:t>2.5 Звiтний перiод та зiставнi данi</w:t>
      </w:r>
    </w:p>
    <w:p w:rsidR="00EB5B37" w:rsidRDefault="00EB5B37">
      <w:pPr>
        <w:rPr>
          <w:rFonts w:cs="Times New Roman"/>
        </w:rPr>
      </w:pPr>
    </w:p>
    <w:p w:rsidR="00EB5B37" w:rsidRDefault="00EB5B37">
      <w:pPr>
        <w:rPr>
          <w:rFonts w:cs="Times New Roman"/>
        </w:rPr>
      </w:pPr>
      <w:r>
        <w:rPr>
          <w:rFonts w:cs="Times New Roman"/>
        </w:rPr>
        <w:t>Фiнансовим роком для Товариства вважається рiк, що закiнчився 31 грудня.</w:t>
      </w:r>
    </w:p>
    <w:p w:rsidR="00EB5B37" w:rsidRDefault="00EB5B37">
      <w:pPr>
        <w:rPr>
          <w:rFonts w:cs="Times New Roman"/>
        </w:rPr>
      </w:pPr>
      <w:r>
        <w:rPr>
          <w:rFonts w:cs="Times New Roman"/>
        </w:rPr>
        <w:t>Дана фiнансова звiтнiсть пiдготовлена за рiк, що закiнчився 31 грудня 2015 року i представляє повний комплект фiнансової звiтностi.</w:t>
      </w:r>
    </w:p>
    <w:p w:rsidR="00EB5B37" w:rsidRDefault="00EB5B37">
      <w:pPr>
        <w:rPr>
          <w:rFonts w:cs="Times New Roman"/>
        </w:rPr>
      </w:pPr>
    </w:p>
    <w:p w:rsidR="00EB5B37" w:rsidRDefault="00EB5B37">
      <w:pPr>
        <w:rPr>
          <w:rFonts w:cs="Times New Roman"/>
          <w:b/>
          <w:bCs/>
          <w:i/>
          <w:iCs/>
          <w:sz w:val="28"/>
          <w:szCs w:val="28"/>
        </w:rPr>
      </w:pPr>
      <w:r>
        <w:rPr>
          <w:rFonts w:cs="Times New Roman"/>
          <w:b/>
          <w:bCs/>
          <w:i/>
          <w:iCs/>
          <w:sz w:val="28"/>
          <w:szCs w:val="28"/>
        </w:rPr>
        <w:t>3.</w:t>
      </w:r>
      <w:r>
        <w:rPr>
          <w:rFonts w:cs="Times New Roman"/>
          <w:b/>
          <w:bCs/>
          <w:i/>
          <w:iCs/>
          <w:sz w:val="28"/>
          <w:szCs w:val="28"/>
        </w:rPr>
        <w:tab/>
        <w:t>Основи облiкової полiтики та складання звiтностi</w:t>
      </w:r>
    </w:p>
    <w:p w:rsidR="00EB5B37" w:rsidRDefault="00EB5B37">
      <w:pPr>
        <w:rPr>
          <w:rFonts w:cs="Times New Roman"/>
          <w:b/>
          <w:bCs/>
        </w:rPr>
      </w:pPr>
    </w:p>
    <w:p w:rsidR="00EB5B37" w:rsidRDefault="00EB5B37">
      <w:pPr>
        <w:rPr>
          <w:rFonts w:cs="Times New Roman"/>
        </w:rPr>
      </w:pPr>
      <w:r>
        <w:rPr>
          <w:rFonts w:cs="Times New Roman"/>
        </w:rPr>
        <w:t xml:space="preserve">ПАТ «Вiнницький асфальтобетонний завод» веде бухгалтерський облiк згiдно з українським законодавством. Ця фiнансова звiтнiсть була пiдготовлена на основi бухгалтерських записiв, якi Пiдприємство веде згiдно з українськими Положеннями (стандартами) бухгалтерського облiку („П(С)БО”) та вiдповiдно до Мiжнародних стандартiв фiнансової звiтностi (надалi -„МСФЗ”). </w:t>
      </w:r>
    </w:p>
    <w:p w:rsidR="00EB5B37" w:rsidRDefault="00EB5B37">
      <w:pPr>
        <w:rPr>
          <w:rFonts w:cs="Times New Roman"/>
        </w:rPr>
      </w:pPr>
      <w:r>
        <w:rPr>
          <w:rFonts w:cs="Times New Roman"/>
        </w:rPr>
        <w:t>Бухгалтерський облiк у Товариствi забезпечує своєчасне та повне вiдображення всiх господарських операцiй та оцiнку стану активiв та зобов’язань, контроль за наявнiстю i збереженням майна, виконанням зобов’язань та достовiрнiсть даних бухгалтерського облiку вiдповiдно до Плану рахункiв бухгалтерського облiку.</w:t>
      </w:r>
    </w:p>
    <w:p w:rsidR="00EB5B37" w:rsidRDefault="00EB5B37">
      <w:pPr>
        <w:rPr>
          <w:rFonts w:cs="Times New Roman"/>
        </w:rPr>
      </w:pPr>
    </w:p>
    <w:p w:rsidR="00EB5B37" w:rsidRDefault="00EB5B37">
      <w:pPr>
        <w:rPr>
          <w:rFonts w:cs="Times New Roman"/>
        </w:rPr>
      </w:pPr>
      <w:r>
        <w:rPr>
          <w:rFonts w:cs="Times New Roman"/>
        </w:rPr>
        <w:t>3.1 Основнiзасоби</w:t>
      </w:r>
    </w:p>
    <w:p w:rsidR="00EB5B37" w:rsidRDefault="00EB5B37">
      <w:pPr>
        <w:rPr>
          <w:rFonts w:cs="Times New Roman"/>
        </w:rPr>
      </w:pPr>
    </w:p>
    <w:p w:rsidR="00EB5B37" w:rsidRDefault="00EB5B37">
      <w:pPr>
        <w:rPr>
          <w:rFonts w:cs="Times New Roman"/>
        </w:rPr>
      </w:pPr>
      <w:r>
        <w:rPr>
          <w:rFonts w:cs="Times New Roman"/>
        </w:rPr>
        <w:t>Первiсне визнання основних засобiв</w:t>
      </w:r>
    </w:p>
    <w:p w:rsidR="00EB5B37" w:rsidRDefault="00EB5B37">
      <w:pPr>
        <w:rPr>
          <w:rFonts w:cs="Times New Roman"/>
        </w:rPr>
      </w:pPr>
    </w:p>
    <w:p w:rsidR="00EB5B37" w:rsidRDefault="00EB5B37">
      <w:pPr>
        <w:rPr>
          <w:rFonts w:cs="Times New Roman"/>
        </w:rPr>
      </w:pPr>
      <w:r>
        <w:rPr>
          <w:rFonts w:cs="Times New Roman"/>
        </w:rPr>
        <w:t>Об'єктм основних засобів слiд визнавати в якостi активу тiльки в тому випадку, якщо:</w:t>
      </w:r>
    </w:p>
    <w:p w:rsidR="00EB5B37" w:rsidRDefault="00EB5B37">
      <w:pPr>
        <w:rPr>
          <w:rFonts w:cs="Times New Roman"/>
        </w:rPr>
      </w:pPr>
    </w:p>
    <w:p w:rsidR="00EB5B37" w:rsidRDefault="00EB5B37">
      <w:pPr>
        <w:pStyle w:val="ListParagraph"/>
        <w:numPr>
          <w:ilvl w:val="0"/>
          <w:numId w:val="1"/>
        </w:numPr>
        <w:rPr>
          <w:rFonts w:cs="Times New Roman"/>
        </w:rPr>
      </w:pPr>
      <w:r>
        <w:rPr>
          <w:rFonts w:cs="Times New Roman"/>
        </w:rPr>
        <w:t xml:space="preserve"> Iснує ймовiрнiсть того, що Товариство отримає пов'язанi з даним об'єктом майбутні економічні вигоди;</w:t>
      </w:r>
    </w:p>
    <w:p w:rsidR="00EB5B37" w:rsidRDefault="00EB5B37">
      <w:pPr>
        <w:pStyle w:val="ListParagraph"/>
        <w:numPr>
          <w:ilvl w:val="0"/>
          <w:numId w:val="1"/>
        </w:numPr>
        <w:rPr>
          <w:rFonts w:cs="Times New Roman"/>
        </w:rPr>
      </w:pPr>
      <w:r>
        <w:rPr>
          <w:rFonts w:cs="Times New Roman"/>
        </w:rPr>
        <w:t xml:space="preserve"> Первiсна вартість даного об'єкт аможе бути достовірно оцiнена;</w:t>
      </w:r>
    </w:p>
    <w:p w:rsidR="00EB5B37" w:rsidRDefault="00EB5B37">
      <w:pPr>
        <w:pStyle w:val="ListParagraph"/>
        <w:numPr>
          <w:ilvl w:val="0"/>
          <w:numId w:val="1"/>
        </w:numPr>
        <w:rPr>
          <w:rFonts w:cs="Times New Roman"/>
        </w:rPr>
      </w:pPr>
      <w:r>
        <w:rPr>
          <w:rFonts w:cs="Times New Roman"/>
        </w:rPr>
        <w:t xml:space="preserve"> Передбачається використовувати протягом більш нiж одного операційного перiоду (зазвичай бiльше 12 мiсяцiв);</w:t>
      </w:r>
    </w:p>
    <w:p w:rsidR="00EB5B37" w:rsidRDefault="00EB5B37">
      <w:pPr>
        <w:pStyle w:val="ListParagraph"/>
        <w:numPr>
          <w:ilvl w:val="0"/>
          <w:numId w:val="1"/>
        </w:numPr>
        <w:rPr>
          <w:rFonts w:cs="Times New Roman"/>
        </w:rPr>
      </w:pPr>
      <w:r>
        <w:rPr>
          <w:rFonts w:cs="Times New Roman"/>
        </w:rPr>
        <w:t>собiвартiсть активу перевищує 2500гривень.</w:t>
      </w:r>
    </w:p>
    <w:p w:rsidR="00EB5B37" w:rsidRDefault="00EB5B37">
      <w:pPr>
        <w:rPr>
          <w:rFonts w:cs="Times New Roman"/>
        </w:rPr>
      </w:pPr>
    </w:p>
    <w:p w:rsidR="00EB5B37" w:rsidRDefault="00EB5B37">
      <w:pPr>
        <w:rPr>
          <w:rFonts w:cs="Times New Roman"/>
        </w:rPr>
      </w:pPr>
      <w:r>
        <w:rPr>
          <w:rFonts w:cs="Times New Roman"/>
        </w:rPr>
        <w:t>Пiсля фактичного введення в експлуатацію об'єкти основних засобів переводяться на вiдповiднi рахунки основних засобiв.</w:t>
      </w:r>
    </w:p>
    <w:p w:rsidR="00EB5B37" w:rsidRDefault="00EB5B37">
      <w:pPr>
        <w:rPr>
          <w:rFonts w:cs="Times New Roman"/>
        </w:rPr>
      </w:pPr>
    </w:p>
    <w:p w:rsidR="00EB5B37" w:rsidRDefault="00EB5B37">
      <w:pPr>
        <w:rPr>
          <w:rFonts w:cs="Times New Roman"/>
        </w:rPr>
      </w:pPr>
      <w:r>
        <w:rPr>
          <w:rFonts w:cs="Times New Roman"/>
        </w:rPr>
        <w:t>Подальша оцiнка основних засобiв.</w:t>
      </w:r>
    </w:p>
    <w:p w:rsidR="00EB5B37" w:rsidRDefault="00EB5B37">
      <w:pPr>
        <w:rPr>
          <w:rFonts w:cs="Times New Roman"/>
        </w:rPr>
      </w:pPr>
    </w:p>
    <w:p w:rsidR="00EB5B37" w:rsidRDefault="00EB5B37">
      <w:pPr>
        <w:rPr>
          <w:rFonts w:cs="Times New Roman"/>
        </w:rPr>
      </w:pPr>
      <w:r>
        <w:rPr>
          <w:rFonts w:cs="Times New Roman"/>
        </w:rPr>
        <w:t>Пiсля первiсного визнання як актив Товариство застосовує модель облiку об'єкта основних засобiв за первiсною вартiстю за вирахуванням накопиченої амортизацiї та накопичених збиткiв вiд знецiнення в разi їх наявностi для наступних компонентiв основних засобiв - комп'ютерне обладнання, iнструменти, прилади та iнвентар. Така вартість включає вартість замiни частин обладнання i витрати на позики у разі довгострокових будiвельних проектiв, якщо виконуються критерiїї капiталiзацiї. При необхідності замiни значних компонентів основних засобiв через певні промiжки часу Пiдприємством визнає подібні компоненти в якостiо кремих активiв з вiдповiдними їм індивідуальними термiнами корисного використання та амортизацiєю. Аналогiчним чином, при проведеннi основного технічного огляду, витрати, пов'язанi з ним, визнаються в балансовiй вартостi основних засобiв як замiна основних засобiв, якщо виконуються всi критерії визнання. Усi інші витрати на ремонт i технічне обслуговування визнаються у звiтi про прибутки i збитки в момент понесення.</w:t>
      </w:r>
    </w:p>
    <w:p w:rsidR="00EB5B37" w:rsidRDefault="00EB5B37">
      <w:pPr>
        <w:rPr>
          <w:rFonts w:cs="Times New Roman"/>
        </w:rPr>
      </w:pPr>
      <w:r>
        <w:rPr>
          <w:rFonts w:cs="Times New Roman"/>
        </w:rPr>
        <w:t xml:space="preserve">Вiдповiдно до внесених змiн в облікову полiтику, зазначеним у п. 0.0 до компонентів основних засобiв таким як будiвлi, машини i обладнання, транспортнi засоби Пiдприємство застосовує модель справедливої вартостi. </w:t>
      </w:r>
    </w:p>
    <w:p w:rsidR="00EB5B37" w:rsidRDefault="00EB5B37">
      <w:pPr>
        <w:rPr>
          <w:rFonts w:cs="Times New Roman"/>
        </w:rPr>
      </w:pPr>
      <w:r>
        <w:rPr>
          <w:rFonts w:cs="Times New Roman"/>
        </w:rPr>
        <w:t>Амортизацiя основних засобів розраховується прямолiнiйним методом вiдповiдно до строкiв корисної служби, погодженим з технiчним персоналом Пiдприємства наступним чином:</w:t>
      </w:r>
    </w:p>
    <w:p w:rsidR="00EB5B37" w:rsidRDefault="00EB5B37">
      <w:pPr>
        <w:rPr>
          <w:rFonts w:cs="Times New Roman"/>
        </w:rPr>
      </w:pPr>
    </w:p>
    <w:p w:rsidR="00EB5B37" w:rsidRDefault="00EB5B37">
      <w:pPr>
        <w:rPr>
          <w:rFonts w:cs="Times New Roman"/>
        </w:rPr>
      </w:pPr>
      <w:r>
        <w:rPr>
          <w:rFonts w:cs="Times New Roman"/>
        </w:rPr>
        <w:t>Будiвлi та споруди</w:t>
      </w:r>
      <w:r>
        <w:rPr>
          <w:rFonts w:cs="Times New Roman"/>
        </w:rPr>
        <w:tab/>
        <w:t>45-50 рокiв</w:t>
      </w:r>
    </w:p>
    <w:p w:rsidR="00EB5B37" w:rsidRDefault="00EB5B37">
      <w:pPr>
        <w:rPr>
          <w:rFonts w:cs="Times New Roman"/>
        </w:rPr>
      </w:pPr>
      <w:r>
        <w:rPr>
          <w:rFonts w:cs="Times New Roman"/>
        </w:rPr>
        <w:t>Машини та устаткування</w:t>
      </w:r>
      <w:r>
        <w:rPr>
          <w:rFonts w:cs="Times New Roman"/>
        </w:rPr>
        <w:tab/>
        <w:t>3-20 рокiв</w:t>
      </w:r>
    </w:p>
    <w:p w:rsidR="00EB5B37" w:rsidRDefault="00EB5B37">
      <w:pPr>
        <w:rPr>
          <w:rFonts w:cs="Times New Roman"/>
        </w:rPr>
      </w:pPr>
      <w:r>
        <w:rPr>
          <w:rFonts w:cs="Times New Roman"/>
        </w:rPr>
        <w:t>Комп'ютерне обладнання</w:t>
      </w:r>
      <w:r>
        <w:rPr>
          <w:rFonts w:cs="Times New Roman"/>
        </w:rPr>
        <w:tab/>
        <w:t>1-8 рокiв</w:t>
      </w:r>
    </w:p>
    <w:p w:rsidR="00EB5B37" w:rsidRDefault="00EB5B37">
      <w:pPr>
        <w:rPr>
          <w:rFonts w:cs="Times New Roman"/>
        </w:rPr>
      </w:pPr>
      <w:r>
        <w:rPr>
          <w:rFonts w:cs="Times New Roman"/>
        </w:rPr>
        <w:t>Транспортнi засоби</w:t>
      </w:r>
      <w:r>
        <w:rPr>
          <w:rFonts w:cs="Times New Roman"/>
        </w:rPr>
        <w:tab/>
        <w:t>4-7 рокiв</w:t>
      </w:r>
    </w:p>
    <w:p w:rsidR="00EB5B37" w:rsidRDefault="00EB5B37">
      <w:pPr>
        <w:rPr>
          <w:rFonts w:cs="Times New Roman"/>
        </w:rPr>
      </w:pPr>
      <w:r>
        <w:rPr>
          <w:rFonts w:cs="Times New Roman"/>
        </w:rPr>
        <w:t>Iнструмент, прилади та iнвентар</w:t>
      </w:r>
      <w:r>
        <w:rPr>
          <w:rFonts w:cs="Times New Roman"/>
        </w:rPr>
        <w:tab/>
        <w:t>5-20 рокiв</w:t>
      </w:r>
    </w:p>
    <w:p w:rsidR="00EB5B37" w:rsidRDefault="00EB5B37">
      <w:pPr>
        <w:rPr>
          <w:rFonts w:cs="Times New Roman"/>
        </w:rPr>
      </w:pPr>
      <w:r>
        <w:rPr>
          <w:rFonts w:cs="Times New Roman"/>
        </w:rPr>
        <w:t>Незавершене будiвництво</w:t>
      </w:r>
      <w:r>
        <w:rPr>
          <w:rFonts w:cs="Times New Roman"/>
        </w:rPr>
        <w:tab/>
        <w:t>Не амортизується</w:t>
      </w:r>
    </w:p>
    <w:p w:rsidR="00EB5B37" w:rsidRDefault="00EB5B37">
      <w:pPr>
        <w:rPr>
          <w:rFonts w:cs="Times New Roman"/>
        </w:rPr>
      </w:pPr>
    </w:p>
    <w:p w:rsidR="00EB5B37" w:rsidRDefault="00EB5B37">
      <w:pPr>
        <w:rPr>
          <w:rFonts w:cs="Times New Roman"/>
        </w:rPr>
      </w:pPr>
      <w:r>
        <w:rPr>
          <w:rFonts w:cs="Times New Roman"/>
        </w:rPr>
        <w:t>Лiквiдацiйна вартiсть, строк корисного використання i метод нарахування амортизації переглядаються в кiнцi кожного фiнансового року. Вплив будь-яких змiн, що виникають від оцiнок, зроблених у попереднi перiоди, враховується як змiнао блiкової оцiнки.</w:t>
      </w:r>
    </w:p>
    <w:p w:rsidR="00EB5B37" w:rsidRDefault="00EB5B37">
      <w:pPr>
        <w:rPr>
          <w:rFonts w:cs="Times New Roman"/>
        </w:rPr>
      </w:pPr>
      <w:r>
        <w:rPr>
          <w:rFonts w:cs="Times New Roman"/>
        </w:rPr>
        <w:t>Активи, отриманi на умовах фінансової оренди, визнаються в звiтностi в сумi еквiвалентнiй справедливої вартостi майна отриманого в лізинг або якщо вона нижче - за поточною вартістю мінімальних лізингових платежiв, яка визначається на початок дiї договору лiзингу. Первiснi прямі витрати лiзингоодержувача включаються до вартостi активу. Активи, отриманi за договорами фінансової оренди, амортизуються протягом очiкуваного строку їх корисного використання з використанням методу, застосовуваного для амортизації власних основних засобiв.</w:t>
      </w:r>
    </w:p>
    <w:p w:rsidR="00EB5B37" w:rsidRDefault="00EB5B37">
      <w:pPr>
        <w:rPr>
          <w:rFonts w:cs="Times New Roman"/>
        </w:rPr>
      </w:pPr>
    </w:p>
    <w:p w:rsidR="00EB5B37" w:rsidRDefault="00EB5B37">
      <w:pPr>
        <w:rPr>
          <w:rFonts w:cs="Times New Roman"/>
        </w:rPr>
      </w:pPr>
      <w:r>
        <w:rPr>
          <w:rFonts w:cs="Times New Roman"/>
        </w:rPr>
        <w:t>3.2</w:t>
      </w:r>
      <w:r>
        <w:rPr>
          <w:rFonts w:cs="Times New Roman"/>
        </w:rPr>
        <w:tab/>
        <w:t>Нематерiальнi активи</w:t>
      </w:r>
    </w:p>
    <w:p w:rsidR="00EB5B37" w:rsidRDefault="00EB5B37">
      <w:pPr>
        <w:rPr>
          <w:rFonts w:cs="Times New Roman"/>
        </w:rPr>
      </w:pPr>
      <w:r>
        <w:rPr>
          <w:rFonts w:cs="Times New Roman"/>
        </w:rPr>
        <w:t>Нематерiальнi активи облiковуються за первiсною вартiстю. Амортизацiя нематерiальних активiв розраховується на прямолiнiйнiй основi протягом 4-14 рокiв, за винятком торгової марки.</w:t>
      </w:r>
    </w:p>
    <w:p w:rsidR="00EB5B37" w:rsidRDefault="00EB5B37">
      <w:pPr>
        <w:rPr>
          <w:rFonts w:cs="Times New Roman"/>
        </w:rPr>
      </w:pPr>
      <w:r>
        <w:rPr>
          <w:rFonts w:cs="Times New Roman"/>
        </w:rPr>
        <w:t>3.3</w:t>
      </w:r>
      <w:r>
        <w:rPr>
          <w:rFonts w:cs="Times New Roman"/>
        </w:rPr>
        <w:tab/>
        <w:t>Фiнансовi активи</w:t>
      </w:r>
    </w:p>
    <w:p w:rsidR="00EB5B37" w:rsidRDefault="00EB5B37">
      <w:pPr>
        <w:rPr>
          <w:rFonts w:cs="Times New Roman"/>
        </w:rPr>
      </w:pPr>
      <w:r>
        <w:rPr>
          <w:rFonts w:cs="Times New Roman"/>
        </w:rPr>
        <w:t>Група класифiкує свої вкладення в пайовi i борговi цiннi папери як: фiнансовi активи за справедливою вартiстю з вiдображенням переоцiнки у прибутку або збитках, утримуванi до погашення iнвестицiї, доступнi для продажу фiнансовi активи, кредиторська та дебiторська заборгованiсть. Класифiкацiя залежить вiд цiлей, для яких придбавалися цiннi папери. Керiвництво приймає рiшення щодо класифiкацiї цiнних паперiв при первiсному визнаннi i перевiряє, наскiльки класифiкацiя вiдповiдає дiйсностi на кожну звiтну дату.</w:t>
      </w:r>
    </w:p>
    <w:p w:rsidR="00EB5B37" w:rsidRDefault="00EB5B37">
      <w:pPr>
        <w:rPr>
          <w:rFonts w:cs="Times New Roman"/>
        </w:rPr>
      </w:pPr>
    </w:p>
    <w:p w:rsidR="00EB5B37" w:rsidRDefault="00EB5B37">
      <w:pPr>
        <w:rPr>
          <w:rFonts w:cs="Times New Roman"/>
        </w:rPr>
      </w:pPr>
      <w:r>
        <w:rPr>
          <w:rFonts w:cs="Times New Roman"/>
        </w:rPr>
        <w:t>(а) Дебiторська заборгованiсть</w:t>
      </w:r>
    </w:p>
    <w:p w:rsidR="00EB5B37" w:rsidRDefault="00EB5B37">
      <w:pPr>
        <w:rPr>
          <w:rFonts w:cs="Times New Roman"/>
        </w:rPr>
      </w:pPr>
    </w:p>
    <w:p w:rsidR="00EB5B37" w:rsidRDefault="00EB5B37">
      <w:pPr>
        <w:rPr>
          <w:rFonts w:cs="Times New Roman"/>
        </w:rPr>
      </w:pPr>
      <w:r>
        <w:rPr>
          <w:rFonts w:cs="Times New Roman"/>
        </w:rPr>
        <w:t>Дебiторська заборгованiсть є непохiдним фiнансовим активом з фiксованими платежами або платежами, якi пiдлягають визначенню, i що не котируються на активному ринку. Дебiторська заборгованiсть включає в себе торгову та iншу дебiторську заборгованiсть.</w:t>
      </w:r>
    </w:p>
    <w:p w:rsidR="00EB5B37" w:rsidRDefault="00EB5B37">
      <w:pPr>
        <w:rPr>
          <w:rFonts w:cs="Times New Roman"/>
        </w:rPr>
      </w:pPr>
      <w:r>
        <w:rPr>
          <w:rFonts w:cs="Times New Roman"/>
        </w:rPr>
        <w:t>Дебiторська заборгованiсть вiдображається за чистою вартiстю реалiзацiї.</w:t>
      </w:r>
    </w:p>
    <w:p w:rsidR="00EB5B37" w:rsidRDefault="00EB5B37">
      <w:pPr>
        <w:rPr>
          <w:rFonts w:cs="Times New Roman"/>
        </w:rPr>
      </w:pPr>
    </w:p>
    <w:p w:rsidR="00EB5B37" w:rsidRDefault="00EB5B37">
      <w:pPr>
        <w:rPr>
          <w:rFonts w:cs="Times New Roman"/>
        </w:rPr>
      </w:pPr>
      <w:r>
        <w:rPr>
          <w:rFonts w:cs="Times New Roman"/>
        </w:rPr>
        <w:t>(б) Фiнансовi активи, доступнi для продажу</w:t>
      </w:r>
    </w:p>
    <w:p w:rsidR="00EB5B37" w:rsidRDefault="00EB5B37">
      <w:pPr>
        <w:rPr>
          <w:rFonts w:cs="Times New Roman"/>
        </w:rPr>
      </w:pPr>
    </w:p>
    <w:p w:rsidR="00EB5B37" w:rsidRDefault="00EB5B37">
      <w:pPr>
        <w:rPr>
          <w:rFonts w:cs="Times New Roman"/>
        </w:rPr>
      </w:pPr>
      <w:r>
        <w:rPr>
          <w:rFonts w:cs="Times New Roman"/>
        </w:rPr>
        <w:t xml:space="preserve">Iнвестицiї, якi керiвництво планує утримувати протягом невизначеного перiоду часу, i якi можуть бути проданi в разi потреби полiпшення показника лiквiдностi або внаслiдок впливу змiн процентних ставок, класифiкуються як фiнансовi активи, наявнi для продажу. Цi активи включаються до складу необоротних активiв, якщо тiльки Пiдприємство не має явного намiру утримувати цi активи протягом перiоду, який менше, нiж дванадцяти мiсяцiв вiд звiтної дати, якщо продаж цих активiв не буде викликаний необхiднiстю збiльшення робочого капiталу, у разi чого вони будуть включенi до складу оборотних активiв. Фiнансовi активи, наявнi для продажу, облiковуються за справедливою вартiстю з вiднесенням переоцiнки на капiтал. </w:t>
      </w:r>
    </w:p>
    <w:p w:rsidR="00EB5B37" w:rsidRDefault="00EB5B37">
      <w:pPr>
        <w:rPr>
          <w:rFonts w:cs="Times New Roman"/>
        </w:rPr>
      </w:pPr>
    </w:p>
    <w:p w:rsidR="00EB5B37" w:rsidRDefault="00EB5B37">
      <w:pPr>
        <w:rPr>
          <w:rFonts w:cs="Times New Roman"/>
        </w:rPr>
      </w:pPr>
      <w:r>
        <w:rPr>
          <w:rFonts w:cs="Times New Roman"/>
        </w:rPr>
        <w:t>3.4.</w:t>
      </w:r>
      <w:r>
        <w:rPr>
          <w:rFonts w:cs="Times New Roman"/>
        </w:rPr>
        <w:tab/>
        <w:t>Запаси</w:t>
      </w:r>
    </w:p>
    <w:p w:rsidR="00EB5B37" w:rsidRDefault="00EB5B37">
      <w:pPr>
        <w:rPr>
          <w:rFonts w:cs="Times New Roman"/>
        </w:rPr>
      </w:pPr>
      <w:r>
        <w:rPr>
          <w:rFonts w:cs="Times New Roman"/>
        </w:rPr>
        <w:t>Пiдприємство видiляє наступнi товарно-матерiальнi запаси:</w:t>
      </w:r>
    </w:p>
    <w:p w:rsidR="00EB5B37" w:rsidRDefault="00EB5B37">
      <w:pPr>
        <w:rPr>
          <w:rFonts w:cs="Times New Roman"/>
        </w:rPr>
      </w:pPr>
      <w:r>
        <w:rPr>
          <w:rFonts w:cs="Times New Roman"/>
        </w:rPr>
        <w:t>• Готова продукцiя;</w:t>
      </w:r>
    </w:p>
    <w:p w:rsidR="00EB5B37" w:rsidRDefault="00EB5B37">
      <w:pPr>
        <w:rPr>
          <w:rFonts w:cs="Times New Roman"/>
        </w:rPr>
      </w:pPr>
      <w:r>
        <w:rPr>
          <w:rFonts w:cs="Times New Roman"/>
        </w:rPr>
        <w:t>• Товари;</w:t>
      </w:r>
    </w:p>
    <w:p w:rsidR="00EB5B37" w:rsidRDefault="00EB5B37">
      <w:pPr>
        <w:rPr>
          <w:rFonts w:cs="Times New Roman"/>
        </w:rPr>
      </w:pPr>
      <w:r>
        <w:rPr>
          <w:rFonts w:cs="Times New Roman"/>
        </w:rPr>
        <w:t>• Матерiали;</w:t>
      </w:r>
    </w:p>
    <w:p w:rsidR="00EB5B37" w:rsidRDefault="00EB5B37">
      <w:pPr>
        <w:rPr>
          <w:rFonts w:cs="Times New Roman"/>
        </w:rPr>
      </w:pPr>
      <w:r>
        <w:rPr>
          <w:rFonts w:cs="Times New Roman"/>
        </w:rPr>
        <w:t>• Запаснi частини;</w:t>
      </w:r>
    </w:p>
    <w:p w:rsidR="00EB5B37" w:rsidRDefault="00EB5B37">
      <w:pPr>
        <w:rPr>
          <w:rFonts w:cs="Times New Roman"/>
        </w:rPr>
      </w:pPr>
      <w:r>
        <w:rPr>
          <w:rFonts w:cs="Times New Roman"/>
        </w:rPr>
        <w:t>• Незавершене виробництво.</w:t>
      </w:r>
    </w:p>
    <w:p w:rsidR="00EB5B37" w:rsidRDefault="00EB5B37">
      <w:pPr>
        <w:rPr>
          <w:rFonts w:cs="Times New Roman"/>
        </w:rPr>
      </w:pPr>
      <w:r>
        <w:rPr>
          <w:rFonts w:cs="Times New Roman"/>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p>
    <w:p w:rsidR="00EB5B37" w:rsidRDefault="00EB5B37">
      <w:pPr>
        <w:rPr>
          <w:rFonts w:cs="Times New Roman"/>
        </w:rPr>
      </w:pPr>
      <w:r>
        <w:rPr>
          <w:rFonts w:cs="Times New Roman"/>
        </w:rPr>
        <w:t>Пiдприємство перiодично оцiнює запаси на предмет наявностi пошкоджень, старiння, повiльної оборотностi, зниження чистої вартостi реалiзацiї. У разi, якщо такi подiї мають мiсце, сума, на яку зменшується вартiсть запасiв, вiдображається у звiтi про сукупний дохiд.</w:t>
      </w:r>
    </w:p>
    <w:p w:rsidR="00EB5B37" w:rsidRDefault="00EB5B37">
      <w:pPr>
        <w:rPr>
          <w:rFonts w:cs="Times New Roman"/>
        </w:rPr>
      </w:pPr>
    </w:p>
    <w:p w:rsidR="00EB5B37" w:rsidRDefault="00EB5B37">
      <w:pPr>
        <w:rPr>
          <w:rFonts w:cs="Times New Roman"/>
        </w:rPr>
      </w:pPr>
      <w:r>
        <w:rPr>
          <w:rFonts w:cs="Times New Roman"/>
        </w:rPr>
        <w:t>3.5</w:t>
      </w:r>
      <w:r>
        <w:rPr>
          <w:rFonts w:cs="Times New Roman"/>
        </w:rPr>
        <w:tab/>
        <w:t>Грошовi кошти та їх еквiваленти</w:t>
      </w:r>
    </w:p>
    <w:p w:rsidR="00EB5B37" w:rsidRDefault="00EB5B37">
      <w:pPr>
        <w:rPr>
          <w:rFonts w:cs="Times New Roman"/>
        </w:rPr>
      </w:pPr>
      <w:r>
        <w:rPr>
          <w:rFonts w:cs="Times New Roman"/>
        </w:rPr>
        <w:t xml:space="preserve">Грошовi кошти та їх еквiваленти включають готiвковi кошти в касi та залишки по рахунках до запитання, короткостроковi i високолiквiднi iнвестицiї з термiном погашення не бiльше трьох мiсяцiв, а також банкiвськi овердрафти. </w:t>
      </w:r>
    </w:p>
    <w:p w:rsidR="00EB5B37" w:rsidRDefault="00EB5B37">
      <w:pPr>
        <w:rPr>
          <w:rFonts w:cs="Times New Roman"/>
        </w:rPr>
      </w:pPr>
    </w:p>
    <w:p w:rsidR="00EB5B37" w:rsidRDefault="00EB5B37">
      <w:pPr>
        <w:rPr>
          <w:rFonts w:cs="Times New Roman"/>
        </w:rPr>
      </w:pPr>
      <w:r>
        <w:rPr>
          <w:rFonts w:cs="Times New Roman"/>
        </w:rPr>
        <w:t>3.6</w:t>
      </w:r>
      <w:r>
        <w:rPr>
          <w:rFonts w:cs="Times New Roman"/>
        </w:rPr>
        <w:tab/>
        <w:t>Визнання виручки</w:t>
      </w:r>
    </w:p>
    <w:p w:rsidR="00EB5B37" w:rsidRDefault="00EB5B37">
      <w:pPr>
        <w:rPr>
          <w:rFonts w:cs="Times New Roman"/>
        </w:rPr>
      </w:pPr>
      <w:r>
        <w:rPr>
          <w:rFonts w:cs="Times New Roman"/>
        </w:rPr>
        <w:t>Виручка включає суму компенсацiї, одержану або пiдлягає отриманню за продаж готової продукцiї, товарiв i послуг в звичайному ходi господарської дiяльностi Товариством. Виручка облiковується за вирахуванням податку на додану вартiсть, знижок i внутрiгрупових операцiй.</w:t>
      </w:r>
    </w:p>
    <w:p w:rsidR="00EB5B37" w:rsidRDefault="00EB5B37">
      <w:pPr>
        <w:rPr>
          <w:rFonts w:cs="Times New Roman"/>
        </w:rPr>
      </w:pPr>
      <w:r>
        <w:rPr>
          <w:rFonts w:cs="Times New Roman"/>
        </w:rPr>
        <w:t>Товариство визнає виручку в разi, якщо сума доходу може бути достовiрно оцiнена, iснує ймовiрнiсть одержання майбутнiх економiчних вигод, а також у разi вiдповiдностi спецiальним критерiям для кожного виду дiяльностi Товариства, зазначеного нижче. Сума виручки не вважається достовiрно оцiненої до тих пiр, поки не будуть вирiшенi всi умовнi зобов'язання, що мають вiдношення до продажу. У своїх оцiнках Товариствобазується на iсторичних результатах, враховуючи тип покупця, тип операцiї та особливi умови кожної угоди.</w:t>
      </w:r>
    </w:p>
    <w:p w:rsidR="00EB5B37" w:rsidRDefault="00EB5B37">
      <w:pPr>
        <w:rPr>
          <w:rFonts w:cs="Times New Roman"/>
        </w:rPr>
      </w:pPr>
      <w:r>
        <w:rPr>
          <w:rFonts w:cs="Times New Roman"/>
        </w:rPr>
        <w:t>Виручка вiдображається в сумi справедливої вартостi активiв, якi отриманi або будуть отриманi.</w:t>
      </w:r>
    </w:p>
    <w:p w:rsidR="00EB5B37" w:rsidRDefault="00EB5B37">
      <w:pPr>
        <w:rPr>
          <w:rFonts w:cs="Times New Roman"/>
        </w:rPr>
      </w:pPr>
    </w:p>
    <w:p w:rsidR="00EB5B37" w:rsidRDefault="00EB5B37">
      <w:pPr>
        <w:rPr>
          <w:rFonts w:cs="Times New Roman"/>
        </w:rPr>
      </w:pPr>
      <w:r>
        <w:rPr>
          <w:rFonts w:cs="Times New Roman"/>
        </w:rPr>
        <w:t>3.7</w:t>
      </w:r>
      <w:r>
        <w:rPr>
          <w:rFonts w:cs="Times New Roman"/>
        </w:rPr>
        <w:tab/>
        <w:t>Визнання витрат</w:t>
      </w:r>
    </w:p>
    <w:p w:rsidR="00EB5B37" w:rsidRDefault="00EB5B37">
      <w:pPr>
        <w:rPr>
          <w:rFonts w:cs="Times New Roman"/>
        </w:rPr>
      </w:pPr>
      <w:r>
        <w:rPr>
          <w:rFonts w:cs="Times New Roman"/>
        </w:rPr>
        <w:t>Витрати визнаються Товариством, якщо виконуються наступнi умови: сума витрат може бути надiйно визначена, i виникає зменшення в майбутньому економiчних вигод, пов'язаних зi зменшенням активу або збiльшенням зобов'язань.</w:t>
      </w:r>
    </w:p>
    <w:p w:rsidR="00EB5B37" w:rsidRDefault="00EB5B37">
      <w:pPr>
        <w:rPr>
          <w:rFonts w:cs="Times New Roman"/>
        </w:rPr>
      </w:pPr>
      <w:r>
        <w:rPr>
          <w:rFonts w:cs="Times New Roman"/>
        </w:rPr>
        <w:t>Витрати визнаються у тому звiтному перiодi, в якому визнано доходи, для отримання яких вони понесенi, або тодi, коли стає очевидно, що данi витрати не призведуть до отримання будь-яких доходiв, незалежно вiд часу фактичної виплати коштiв чи iншої форми їх оплати, коли економiчнi вигоди вiд їх використання зменшилися або повнiстю спожитi.</w:t>
      </w:r>
    </w:p>
    <w:p w:rsidR="00EB5B37" w:rsidRDefault="00EB5B37">
      <w:pPr>
        <w:rPr>
          <w:rFonts w:cs="Times New Roman"/>
        </w:rPr>
      </w:pPr>
      <w:r>
        <w:rPr>
          <w:rFonts w:cs="Times New Roman"/>
        </w:rPr>
        <w:t>Витрати, якi неможливо прямо пов'язати з доходом певного перiоду, вiдображаються у складi витрат того звiтного перiоду, в якому вони були здiйсненi.</w:t>
      </w:r>
    </w:p>
    <w:p w:rsidR="00EB5B37" w:rsidRDefault="00EB5B37">
      <w:pPr>
        <w:rPr>
          <w:rFonts w:cs="Times New Roman"/>
        </w:rPr>
      </w:pPr>
      <w:r>
        <w:rPr>
          <w:rFonts w:cs="Times New Roman"/>
        </w:rPr>
        <w:t>Якщо актив забезпечує одержання економiчних вигод протягом кiлькох звiтних перiодiв, то витрати визначаються шляхом систематичного розподiлу його вартостi мiж вiдповiдними звiтними перiодами.</w:t>
      </w:r>
    </w:p>
    <w:p w:rsidR="00EB5B37" w:rsidRDefault="00EB5B37">
      <w:pPr>
        <w:rPr>
          <w:rFonts w:cs="Times New Roman"/>
        </w:rPr>
      </w:pPr>
      <w:r>
        <w:rPr>
          <w:rFonts w:cs="Times New Roman"/>
        </w:rPr>
        <w:t>Моментом визнання витрат майбутнiх перiодiв є момент їх виникнення, коли вiдбувається невiдповiднiсть перiоду виникнення зазначених витрат та перiоду, в якому вони будуть використанi з метою отримання доходiв. Витрати майбутнiх перiодiв враховуються в сумi фактичних витрат.</w:t>
      </w:r>
    </w:p>
    <w:p w:rsidR="00EB5B37" w:rsidRDefault="00EB5B37">
      <w:pPr>
        <w:rPr>
          <w:rFonts w:cs="Times New Roman"/>
        </w:rPr>
      </w:pPr>
    </w:p>
    <w:p w:rsidR="00EB5B37" w:rsidRDefault="00EB5B37">
      <w:pPr>
        <w:rPr>
          <w:rFonts w:cs="Times New Roman"/>
          <w:b/>
          <w:bCs/>
          <w:sz w:val="28"/>
          <w:szCs w:val="28"/>
        </w:rPr>
      </w:pPr>
      <w:r>
        <w:rPr>
          <w:rFonts w:cs="Times New Roman"/>
          <w:b/>
          <w:bCs/>
          <w:sz w:val="28"/>
          <w:szCs w:val="28"/>
        </w:rPr>
        <w:t>4.</w:t>
      </w:r>
      <w:r>
        <w:rPr>
          <w:rFonts w:cs="Times New Roman"/>
          <w:b/>
          <w:bCs/>
          <w:sz w:val="28"/>
          <w:szCs w:val="28"/>
        </w:rPr>
        <w:tab/>
        <w:t>Iстотнi облiковi судження та оцiнки</w:t>
      </w:r>
    </w:p>
    <w:p w:rsidR="00EB5B37" w:rsidRDefault="00EB5B37">
      <w:pPr>
        <w:rPr>
          <w:rFonts w:cs="Times New Roman"/>
        </w:rPr>
      </w:pPr>
    </w:p>
    <w:p w:rsidR="00EB5B37" w:rsidRDefault="00EB5B37">
      <w:pPr>
        <w:rPr>
          <w:rFonts w:cs="Times New Roman"/>
        </w:rPr>
      </w:pPr>
      <w:r>
        <w:rPr>
          <w:rFonts w:cs="Times New Roman"/>
        </w:rPr>
        <w:t>Нижче наведенi основнi припущення щодо майбутнiх подiй, а також iнших джерел невизначеностi оцiнок на дату балансу, якi несуть в собi iстотний ризик виникнення необхiдностi внесення суттєвих коригувань до балансової вартостi активiв та зобов'язань протягом наступного звiтного перiоду.</w:t>
      </w:r>
    </w:p>
    <w:p w:rsidR="00EB5B37" w:rsidRDefault="00EB5B37">
      <w:pPr>
        <w:rPr>
          <w:rFonts w:cs="Times New Roman"/>
        </w:rPr>
      </w:pPr>
    </w:p>
    <w:p w:rsidR="00EB5B37" w:rsidRDefault="00EB5B37">
      <w:pPr>
        <w:rPr>
          <w:rFonts w:cs="Times New Roman"/>
          <w:b/>
          <w:bCs/>
        </w:rPr>
      </w:pPr>
      <w:r>
        <w:rPr>
          <w:rFonts w:cs="Times New Roman"/>
          <w:b/>
          <w:bCs/>
        </w:rPr>
        <w:t>Резерв по сумнiвних боргах</w:t>
      </w:r>
    </w:p>
    <w:p w:rsidR="00EB5B37" w:rsidRDefault="00EB5B37">
      <w:pPr>
        <w:rPr>
          <w:rFonts w:cs="Times New Roman"/>
          <w:b/>
          <w:bCs/>
        </w:rPr>
      </w:pPr>
    </w:p>
    <w:p w:rsidR="00EB5B37" w:rsidRDefault="00EB5B37">
      <w:pPr>
        <w:rPr>
          <w:rFonts w:cs="Times New Roman"/>
        </w:rPr>
      </w:pPr>
      <w:r>
        <w:rPr>
          <w:rFonts w:cs="Times New Roman"/>
        </w:rPr>
        <w:t>Керiвництво Товариства не формує резерв на сумнiвну заборгованiсть для облiку розрахункових збиткiв, викликаних неспроможнiстю клiєнтiв здiйснити необхiднi платежi. При оцiнцi достатностi резерву на сумнiвну заборгованiсть, керiвництво виходить iз власної оцiнки розподiлу непогашених залишкiв дебiторської заборгованостi за строками давностi, прийнятої практики списання, кредитоспроможностi клiєнта i змiн в умовах платежу. У випадку, якщо фiнансове становище клiєнтiв буде продовжувати погiршуватися, фактичний обсяг списань може переважити очiкуваний.</w:t>
      </w:r>
    </w:p>
    <w:p w:rsidR="00EB5B37" w:rsidRDefault="00EB5B37">
      <w:pPr>
        <w:rPr>
          <w:rFonts w:cs="Times New Roman"/>
        </w:rPr>
      </w:pPr>
    </w:p>
    <w:p w:rsidR="00EB5B37" w:rsidRDefault="00EB5B37">
      <w:pPr>
        <w:rPr>
          <w:rFonts w:cs="Times New Roman"/>
        </w:rPr>
      </w:pPr>
    </w:p>
    <w:p w:rsidR="00EB5B37" w:rsidRDefault="00EB5B37">
      <w:pPr>
        <w:pStyle w:val="ListParagraph"/>
        <w:numPr>
          <w:ilvl w:val="0"/>
          <w:numId w:val="4"/>
        </w:numPr>
        <w:rPr>
          <w:rFonts w:cs="Times New Roman"/>
          <w:b/>
          <w:bCs/>
          <w:i/>
          <w:iCs/>
        </w:rPr>
      </w:pPr>
      <w:r>
        <w:rPr>
          <w:rFonts w:cs="Times New Roman"/>
          <w:b/>
          <w:bCs/>
          <w:i/>
          <w:iCs/>
        </w:rPr>
        <w:t>Розшифровки певних статей фінансової звітності:</w:t>
      </w:r>
    </w:p>
    <w:p w:rsidR="00EB5B37" w:rsidRDefault="00EB5B37">
      <w:pPr>
        <w:rPr>
          <w:rFonts w:cs="Times New Roman"/>
          <w:b/>
          <w:bCs/>
          <w:lang w:val="ru-RU"/>
        </w:rPr>
      </w:pPr>
    </w:p>
    <w:p w:rsidR="00EB5B37" w:rsidRDefault="00EB5B37">
      <w:pPr>
        <w:rPr>
          <w:rFonts w:cs="Times New Roman"/>
          <w:b/>
          <w:bCs/>
          <w:lang w:val="ru-RU"/>
        </w:rPr>
      </w:pPr>
      <w:r>
        <w:rPr>
          <w:rFonts w:cs="Times New Roman"/>
          <w:b/>
          <w:bCs/>
          <w:lang w:val="ru-RU"/>
        </w:rPr>
        <w:t>5.1.Основні засоби</w:t>
      </w:r>
    </w:p>
    <w:p w:rsidR="00EB5B37" w:rsidRDefault="00EB5B37">
      <w:pPr>
        <w:rPr>
          <w:rFonts w:cs="Times New Roman"/>
          <w:b/>
          <w:bCs/>
          <w:lang w:val="ru-RU"/>
        </w:rPr>
      </w:pPr>
    </w:p>
    <w:tbl>
      <w:tblPr>
        <w:tblW w:w="9478" w:type="dxa"/>
        <w:tblInd w:w="2" w:type="dxa"/>
        <w:tblLayout w:type="fixed"/>
        <w:tblLook w:val="0000"/>
      </w:tblPr>
      <w:tblGrid>
        <w:gridCol w:w="1382"/>
        <w:gridCol w:w="1199"/>
        <w:gridCol w:w="948"/>
        <w:gridCol w:w="1001"/>
        <w:gridCol w:w="1002"/>
        <w:gridCol w:w="889"/>
        <w:gridCol w:w="1107"/>
        <w:gridCol w:w="992"/>
        <w:gridCol w:w="958"/>
      </w:tblGrid>
      <w:tr w:rsidR="00EB5B37">
        <w:trPr>
          <w:trHeight w:val="1110"/>
        </w:trPr>
        <w:tc>
          <w:tcPr>
            <w:tcW w:w="1382" w:type="dxa"/>
            <w:tcBorders>
              <w:top w:val="single" w:sz="8" w:space="0" w:color="auto"/>
              <w:left w:val="single" w:sz="8" w:space="0" w:color="auto"/>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Групи основних засобів</w:t>
            </w:r>
          </w:p>
        </w:tc>
        <w:tc>
          <w:tcPr>
            <w:tcW w:w="1199" w:type="dxa"/>
            <w:tcBorders>
              <w:top w:val="single" w:sz="8" w:space="0" w:color="auto"/>
              <w:left w:val="nil"/>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Будівлі та споруди</w:t>
            </w:r>
          </w:p>
        </w:tc>
        <w:tc>
          <w:tcPr>
            <w:tcW w:w="948" w:type="dxa"/>
            <w:tcBorders>
              <w:top w:val="single" w:sz="8" w:space="0" w:color="auto"/>
              <w:left w:val="nil"/>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Машини та обладнання</w:t>
            </w:r>
          </w:p>
        </w:tc>
        <w:tc>
          <w:tcPr>
            <w:tcW w:w="1001" w:type="dxa"/>
            <w:tcBorders>
              <w:top w:val="single" w:sz="8" w:space="0" w:color="auto"/>
              <w:left w:val="nil"/>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Транспортні засоби</w:t>
            </w:r>
          </w:p>
        </w:tc>
        <w:tc>
          <w:tcPr>
            <w:tcW w:w="1002" w:type="dxa"/>
            <w:tcBorders>
              <w:top w:val="single" w:sz="8" w:space="0" w:color="auto"/>
              <w:left w:val="nil"/>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Інструменти, прилади</w:t>
            </w:r>
          </w:p>
        </w:tc>
        <w:tc>
          <w:tcPr>
            <w:tcW w:w="889" w:type="dxa"/>
            <w:tcBorders>
              <w:top w:val="single" w:sz="8" w:space="0" w:color="auto"/>
              <w:left w:val="nil"/>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Інші основні засоби</w:t>
            </w:r>
          </w:p>
        </w:tc>
        <w:tc>
          <w:tcPr>
            <w:tcW w:w="1107" w:type="dxa"/>
            <w:tcBorders>
              <w:top w:val="single" w:sz="8" w:space="0" w:color="auto"/>
              <w:left w:val="nil"/>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Інші нематеріальні</w:t>
            </w:r>
          </w:p>
        </w:tc>
        <w:tc>
          <w:tcPr>
            <w:tcW w:w="992" w:type="dxa"/>
            <w:tcBorders>
              <w:top w:val="single" w:sz="8" w:space="0" w:color="auto"/>
              <w:left w:val="nil"/>
              <w:bottom w:val="single" w:sz="8" w:space="0" w:color="auto"/>
              <w:right w:val="single" w:sz="4" w:space="0" w:color="auto"/>
            </w:tcBorders>
            <w:shd w:val="clear" w:color="auto" w:fill="CCFFCC"/>
            <w:vAlign w:val="center"/>
          </w:tcPr>
          <w:p w:rsidR="00EB5B37" w:rsidRDefault="00EB5B37">
            <w:pPr>
              <w:ind w:firstLine="0"/>
              <w:jc w:val="center"/>
              <w:rPr>
                <w:rFonts w:cs="Times New Roman"/>
                <w:b/>
                <w:bCs/>
                <w:sz w:val="16"/>
                <w:szCs w:val="16"/>
              </w:rPr>
            </w:pPr>
            <w:r>
              <w:rPr>
                <w:rFonts w:cs="Times New Roman"/>
                <w:b/>
                <w:bCs/>
                <w:sz w:val="16"/>
                <w:szCs w:val="16"/>
              </w:rPr>
              <w:t>Незаверш.кап.інв</w:t>
            </w:r>
          </w:p>
        </w:tc>
        <w:tc>
          <w:tcPr>
            <w:tcW w:w="958" w:type="dxa"/>
            <w:tcBorders>
              <w:top w:val="single" w:sz="8" w:space="0" w:color="auto"/>
              <w:left w:val="nil"/>
              <w:bottom w:val="single" w:sz="8" w:space="0" w:color="auto"/>
              <w:right w:val="single" w:sz="8" w:space="0" w:color="auto"/>
            </w:tcBorders>
            <w:shd w:val="clear" w:color="auto" w:fill="CCFFCC"/>
            <w:vAlign w:val="center"/>
          </w:tcPr>
          <w:p w:rsidR="00EB5B37" w:rsidRDefault="00EB5B37">
            <w:pPr>
              <w:ind w:firstLine="34"/>
              <w:rPr>
                <w:rFonts w:cs="Times New Roman"/>
                <w:b/>
                <w:bCs/>
                <w:sz w:val="16"/>
                <w:szCs w:val="16"/>
              </w:rPr>
            </w:pPr>
            <w:r>
              <w:rPr>
                <w:rFonts w:cs="Times New Roman"/>
                <w:b/>
                <w:bCs/>
                <w:sz w:val="16"/>
                <w:szCs w:val="16"/>
              </w:rPr>
              <w:t>Всього</w:t>
            </w:r>
          </w:p>
        </w:tc>
      </w:tr>
      <w:tr w:rsidR="00EB5B37">
        <w:trPr>
          <w:trHeight w:val="300"/>
        </w:trPr>
        <w:tc>
          <w:tcPr>
            <w:tcW w:w="9478" w:type="dxa"/>
            <w:gridSpan w:val="9"/>
            <w:tcBorders>
              <w:top w:val="nil"/>
              <w:left w:val="single" w:sz="8" w:space="0" w:color="auto"/>
              <w:bottom w:val="nil"/>
              <w:right w:val="single" w:sz="8" w:space="0" w:color="000000"/>
            </w:tcBorders>
            <w:noWrap/>
            <w:vAlign w:val="center"/>
          </w:tcPr>
          <w:p w:rsidR="00EB5B37" w:rsidRDefault="00EB5B37">
            <w:pPr>
              <w:jc w:val="left"/>
              <w:rPr>
                <w:rFonts w:cs="Times New Roman"/>
                <w:b/>
                <w:bCs/>
                <w:sz w:val="16"/>
                <w:szCs w:val="16"/>
              </w:rPr>
            </w:pPr>
            <w:r>
              <w:rPr>
                <w:rFonts w:cs="Times New Roman"/>
                <w:b/>
                <w:bCs/>
                <w:sz w:val="16"/>
                <w:szCs w:val="16"/>
              </w:rPr>
              <w:t>Вартість</w:t>
            </w:r>
          </w:p>
        </w:tc>
      </w:tr>
      <w:tr w:rsidR="00EB5B37">
        <w:trPr>
          <w:trHeight w:val="559"/>
        </w:trPr>
        <w:tc>
          <w:tcPr>
            <w:tcW w:w="1382" w:type="dxa"/>
            <w:tcBorders>
              <w:top w:val="nil"/>
              <w:left w:val="single" w:sz="8" w:space="0" w:color="auto"/>
              <w:bottom w:val="single" w:sz="4" w:space="0" w:color="auto"/>
              <w:right w:val="single" w:sz="4" w:space="0" w:color="auto"/>
            </w:tcBorders>
            <w:shd w:val="clear" w:color="auto" w:fill="CCFFCC"/>
            <w:noWrap/>
            <w:vAlign w:val="center"/>
          </w:tcPr>
          <w:p w:rsidR="00EB5B37" w:rsidRDefault="00EB5B37">
            <w:pPr>
              <w:ind w:firstLine="49"/>
              <w:jc w:val="left"/>
              <w:rPr>
                <w:rFonts w:cs="Times New Roman"/>
                <w:b/>
                <w:bCs/>
                <w:sz w:val="16"/>
                <w:szCs w:val="16"/>
              </w:rPr>
            </w:pPr>
            <w:r>
              <w:rPr>
                <w:rFonts w:cs="Times New Roman"/>
                <w:b/>
                <w:bCs/>
                <w:sz w:val="16"/>
                <w:szCs w:val="16"/>
              </w:rPr>
              <w:t>Станом на 31.12.2014</w:t>
            </w:r>
          </w:p>
        </w:tc>
        <w:tc>
          <w:tcPr>
            <w:tcW w:w="1199" w:type="dxa"/>
            <w:tcBorders>
              <w:top w:val="nil"/>
              <w:left w:val="nil"/>
              <w:bottom w:val="single" w:sz="4" w:space="0" w:color="auto"/>
              <w:right w:val="single" w:sz="4"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4 954</w:t>
            </w:r>
          </w:p>
        </w:tc>
        <w:tc>
          <w:tcPr>
            <w:tcW w:w="948" w:type="dxa"/>
            <w:tcBorders>
              <w:top w:val="nil"/>
              <w:left w:val="nil"/>
              <w:bottom w:val="single" w:sz="4" w:space="0" w:color="auto"/>
              <w:right w:val="single" w:sz="4"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1 581</w:t>
            </w:r>
          </w:p>
        </w:tc>
        <w:tc>
          <w:tcPr>
            <w:tcW w:w="1001" w:type="dxa"/>
            <w:tcBorders>
              <w:top w:val="nil"/>
              <w:left w:val="nil"/>
              <w:bottom w:val="single" w:sz="4" w:space="0" w:color="auto"/>
              <w:right w:val="single" w:sz="4"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1 462</w:t>
            </w:r>
          </w:p>
        </w:tc>
        <w:tc>
          <w:tcPr>
            <w:tcW w:w="1002" w:type="dxa"/>
            <w:tcBorders>
              <w:top w:val="nil"/>
              <w:left w:val="nil"/>
              <w:bottom w:val="single" w:sz="4" w:space="0" w:color="auto"/>
              <w:right w:val="single" w:sz="4"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93</w:t>
            </w:r>
          </w:p>
        </w:tc>
        <w:tc>
          <w:tcPr>
            <w:tcW w:w="889" w:type="dxa"/>
            <w:tcBorders>
              <w:top w:val="nil"/>
              <w:left w:val="nil"/>
              <w:bottom w:val="single" w:sz="4" w:space="0" w:color="auto"/>
              <w:right w:val="single" w:sz="4"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59</w:t>
            </w:r>
          </w:p>
        </w:tc>
        <w:tc>
          <w:tcPr>
            <w:tcW w:w="1107" w:type="dxa"/>
            <w:tcBorders>
              <w:top w:val="nil"/>
              <w:left w:val="nil"/>
              <w:bottom w:val="single" w:sz="4" w:space="0" w:color="auto"/>
              <w:right w:val="single" w:sz="4" w:space="0" w:color="auto"/>
            </w:tcBorders>
            <w:shd w:val="clear" w:color="auto" w:fill="CCFFCC"/>
            <w:noWrap/>
            <w:vAlign w:val="center"/>
          </w:tcPr>
          <w:p w:rsidR="00EB5B37" w:rsidRDefault="00EB5B37">
            <w:pPr>
              <w:ind w:firstLine="7"/>
              <w:jc w:val="center"/>
              <w:rPr>
                <w:rFonts w:cs="Times New Roman"/>
                <w:b/>
                <w:bCs/>
                <w:i/>
                <w:iCs/>
                <w:sz w:val="16"/>
                <w:szCs w:val="16"/>
              </w:rPr>
            </w:pPr>
            <w:r>
              <w:rPr>
                <w:rFonts w:cs="Times New Roman"/>
                <w:b/>
                <w:bCs/>
                <w:i/>
                <w:iCs/>
                <w:sz w:val="16"/>
                <w:szCs w:val="16"/>
              </w:rPr>
              <w:t>12</w:t>
            </w:r>
          </w:p>
        </w:tc>
        <w:tc>
          <w:tcPr>
            <w:tcW w:w="992" w:type="dxa"/>
            <w:tcBorders>
              <w:top w:val="nil"/>
              <w:left w:val="nil"/>
              <w:bottom w:val="single" w:sz="4" w:space="0" w:color="auto"/>
              <w:right w:val="single" w:sz="4" w:space="0" w:color="auto"/>
            </w:tcBorders>
            <w:shd w:val="clear" w:color="auto" w:fill="CCFFCC"/>
            <w:noWrap/>
            <w:vAlign w:val="center"/>
          </w:tcPr>
          <w:p w:rsidR="00EB5B37" w:rsidRDefault="00EB5B37">
            <w:pPr>
              <w:ind w:firstLine="34"/>
              <w:jc w:val="center"/>
              <w:rPr>
                <w:rFonts w:cs="Times New Roman"/>
                <w:b/>
                <w:bCs/>
                <w:i/>
                <w:iCs/>
                <w:sz w:val="16"/>
                <w:szCs w:val="16"/>
              </w:rPr>
            </w:pPr>
            <w:r>
              <w:rPr>
                <w:rFonts w:cs="Times New Roman"/>
                <w:b/>
                <w:bCs/>
                <w:i/>
                <w:iCs/>
                <w:sz w:val="16"/>
                <w:szCs w:val="16"/>
              </w:rPr>
              <w:t>6</w:t>
            </w:r>
          </w:p>
        </w:tc>
        <w:tc>
          <w:tcPr>
            <w:tcW w:w="958" w:type="dxa"/>
            <w:tcBorders>
              <w:top w:val="nil"/>
              <w:left w:val="nil"/>
              <w:bottom w:val="single" w:sz="4" w:space="0" w:color="auto"/>
              <w:right w:val="single" w:sz="8"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8 167</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Надходження (дооцінка)</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565</w:t>
            </w:r>
          </w:p>
        </w:tc>
        <w:tc>
          <w:tcPr>
            <w:tcW w:w="948"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71</w:t>
            </w:r>
          </w:p>
        </w:tc>
        <w:tc>
          <w:tcPr>
            <w:tcW w:w="1001"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lang w:val="ru-RU"/>
              </w:rPr>
            </w:pPr>
            <w:r>
              <w:rPr>
                <w:rFonts w:cs="Times New Roman"/>
                <w:sz w:val="16"/>
                <w:szCs w:val="16"/>
                <w:lang w:val="ru-RU"/>
              </w:rPr>
              <w:t>18</w:t>
            </w:r>
          </w:p>
          <w:p w:rsidR="00EB5B37" w:rsidRDefault="00EB5B37">
            <w:pPr>
              <w:ind w:firstLine="34"/>
              <w:jc w:val="center"/>
              <w:rPr>
                <w:rFonts w:cs="Times New Roman"/>
                <w:sz w:val="16"/>
                <w:szCs w:val="16"/>
                <w:lang w:val="ru-RU"/>
              </w:rPr>
            </w:pP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636</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надходження (модернізація)</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001" w:type="dxa"/>
            <w:tcBorders>
              <w:top w:val="nil"/>
              <w:left w:val="nil"/>
              <w:bottom w:val="single" w:sz="4" w:space="0" w:color="auto"/>
              <w:right w:val="single" w:sz="4" w:space="0" w:color="auto"/>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Збільшення за рахунок придбання дочірніх компаній</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001" w:type="dxa"/>
            <w:tcBorders>
              <w:top w:val="nil"/>
              <w:left w:val="nil"/>
              <w:bottom w:val="single" w:sz="4" w:space="0" w:color="auto"/>
              <w:right w:val="single" w:sz="4" w:space="0" w:color="auto"/>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49"/>
              <w:jc w:val="left"/>
              <w:rPr>
                <w:rFonts w:cs="Times New Roman"/>
                <w:sz w:val="16"/>
                <w:szCs w:val="16"/>
              </w:rPr>
            </w:pPr>
            <w:r>
              <w:rPr>
                <w:rFonts w:cs="Times New Roman"/>
                <w:sz w:val="16"/>
                <w:szCs w:val="16"/>
              </w:rPr>
              <w:t>Внутрішні переміщення</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001" w:type="dxa"/>
            <w:tcBorders>
              <w:top w:val="nil"/>
              <w:left w:val="nil"/>
              <w:bottom w:val="single" w:sz="4" w:space="0" w:color="auto"/>
              <w:right w:val="single" w:sz="4" w:space="0" w:color="auto"/>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Вибуття (реалізація)</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001" w:type="dxa"/>
            <w:tcBorders>
              <w:top w:val="nil"/>
              <w:left w:val="nil"/>
              <w:bottom w:val="single" w:sz="4" w:space="0" w:color="auto"/>
              <w:right w:val="single" w:sz="4" w:space="0" w:color="auto"/>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Інший рух</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001" w:type="dxa"/>
            <w:tcBorders>
              <w:top w:val="nil"/>
              <w:left w:val="nil"/>
              <w:bottom w:val="single" w:sz="4" w:space="0" w:color="auto"/>
              <w:right w:val="single" w:sz="4" w:space="0" w:color="auto"/>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Інший рух (списання)</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001" w:type="dxa"/>
            <w:tcBorders>
              <w:top w:val="nil"/>
              <w:left w:val="nil"/>
              <w:bottom w:val="single" w:sz="4" w:space="0" w:color="auto"/>
              <w:right w:val="single" w:sz="4" w:space="0" w:color="auto"/>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0</w:t>
            </w:r>
          </w:p>
        </w:tc>
      </w:tr>
      <w:tr w:rsidR="00EB5B37">
        <w:trPr>
          <w:trHeight w:val="560"/>
        </w:trPr>
        <w:tc>
          <w:tcPr>
            <w:tcW w:w="1382" w:type="dxa"/>
            <w:tcBorders>
              <w:top w:val="single" w:sz="4" w:space="0" w:color="auto"/>
              <w:left w:val="single" w:sz="8" w:space="0" w:color="auto"/>
              <w:bottom w:val="single" w:sz="8" w:space="0" w:color="auto"/>
              <w:right w:val="single" w:sz="4" w:space="0" w:color="auto"/>
            </w:tcBorders>
            <w:shd w:val="clear" w:color="auto" w:fill="CCFFCC"/>
            <w:noWrap/>
            <w:vAlign w:val="center"/>
          </w:tcPr>
          <w:p w:rsidR="00EB5B37" w:rsidRDefault="00EB5B37">
            <w:pPr>
              <w:ind w:firstLine="0"/>
              <w:jc w:val="left"/>
              <w:rPr>
                <w:rFonts w:cs="Times New Roman"/>
                <w:b/>
                <w:bCs/>
                <w:sz w:val="16"/>
                <w:szCs w:val="16"/>
              </w:rPr>
            </w:pPr>
            <w:r>
              <w:rPr>
                <w:rFonts w:cs="Times New Roman"/>
                <w:b/>
                <w:bCs/>
                <w:sz w:val="16"/>
                <w:szCs w:val="16"/>
              </w:rPr>
              <w:t>Станом на 31.12.2015</w:t>
            </w:r>
          </w:p>
        </w:tc>
        <w:tc>
          <w:tcPr>
            <w:tcW w:w="1199"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5 519</w:t>
            </w:r>
          </w:p>
        </w:tc>
        <w:tc>
          <w:tcPr>
            <w:tcW w:w="948"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1 652</w:t>
            </w:r>
          </w:p>
        </w:tc>
        <w:tc>
          <w:tcPr>
            <w:tcW w:w="1001"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1 462</w:t>
            </w:r>
          </w:p>
        </w:tc>
        <w:tc>
          <w:tcPr>
            <w:tcW w:w="1002"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93</w:t>
            </w:r>
          </w:p>
        </w:tc>
        <w:tc>
          <w:tcPr>
            <w:tcW w:w="889"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59</w:t>
            </w:r>
          </w:p>
        </w:tc>
        <w:tc>
          <w:tcPr>
            <w:tcW w:w="1107"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12</w:t>
            </w:r>
          </w:p>
        </w:tc>
        <w:tc>
          <w:tcPr>
            <w:tcW w:w="992"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34"/>
              <w:jc w:val="center"/>
              <w:rPr>
                <w:rFonts w:cs="Times New Roman"/>
                <w:b/>
                <w:bCs/>
                <w:sz w:val="16"/>
                <w:szCs w:val="16"/>
                <w:lang w:val="ru-RU"/>
              </w:rPr>
            </w:pPr>
            <w:r>
              <w:rPr>
                <w:rFonts w:cs="Times New Roman"/>
                <w:b/>
                <w:bCs/>
                <w:sz w:val="16"/>
                <w:szCs w:val="16"/>
                <w:lang w:val="ru-RU"/>
              </w:rPr>
              <w:t>24</w:t>
            </w:r>
          </w:p>
        </w:tc>
        <w:tc>
          <w:tcPr>
            <w:tcW w:w="958"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lang w:val="ru-RU"/>
              </w:rPr>
            </w:pPr>
            <w:r>
              <w:rPr>
                <w:rFonts w:cs="Times New Roman"/>
                <w:b/>
                <w:bCs/>
                <w:sz w:val="16"/>
                <w:szCs w:val="16"/>
              </w:rPr>
              <w:t>8 8</w:t>
            </w:r>
            <w:r>
              <w:rPr>
                <w:rFonts w:cs="Times New Roman"/>
                <w:b/>
                <w:bCs/>
                <w:sz w:val="16"/>
                <w:szCs w:val="16"/>
                <w:lang w:val="ru-RU"/>
              </w:rPr>
              <w:t>21</w:t>
            </w:r>
          </w:p>
        </w:tc>
      </w:tr>
      <w:tr w:rsidR="00EB5B37">
        <w:trPr>
          <w:trHeight w:val="315"/>
        </w:trPr>
        <w:tc>
          <w:tcPr>
            <w:tcW w:w="1382" w:type="dxa"/>
            <w:tcBorders>
              <w:top w:val="nil"/>
              <w:left w:val="nil"/>
              <w:bottom w:val="nil"/>
              <w:right w:val="nil"/>
            </w:tcBorders>
            <w:noWrap/>
            <w:vAlign w:val="bottom"/>
          </w:tcPr>
          <w:p w:rsidR="00EB5B37" w:rsidRDefault="00EB5B37">
            <w:pPr>
              <w:jc w:val="left"/>
              <w:rPr>
                <w:rFonts w:cs="Times New Roman"/>
                <w:color w:val="FF0000"/>
                <w:sz w:val="16"/>
                <w:szCs w:val="16"/>
              </w:rPr>
            </w:pPr>
          </w:p>
        </w:tc>
        <w:tc>
          <w:tcPr>
            <w:tcW w:w="1199" w:type="dxa"/>
            <w:tcBorders>
              <w:top w:val="nil"/>
              <w:left w:val="nil"/>
              <w:bottom w:val="nil"/>
              <w:right w:val="nil"/>
            </w:tcBorders>
            <w:noWrap/>
            <w:vAlign w:val="bottom"/>
          </w:tcPr>
          <w:p w:rsidR="00EB5B37" w:rsidRDefault="00EB5B37">
            <w:pPr>
              <w:rPr>
                <w:rFonts w:cs="Times New Roman"/>
                <w:color w:val="FF0000"/>
                <w:sz w:val="16"/>
                <w:szCs w:val="16"/>
              </w:rPr>
            </w:pPr>
          </w:p>
        </w:tc>
        <w:tc>
          <w:tcPr>
            <w:tcW w:w="948" w:type="dxa"/>
            <w:tcBorders>
              <w:top w:val="nil"/>
              <w:left w:val="nil"/>
              <w:bottom w:val="nil"/>
              <w:right w:val="nil"/>
            </w:tcBorders>
            <w:noWrap/>
            <w:vAlign w:val="bottom"/>
          </w:tcPr>
          <w:p w:rsidR="00EB5B37" w:rsidRDefault="00EB5B37">
            <w:pPr>
              <w:rPr>
                <w:rFonts w:cs="Times New Roman"/>
                <w:color w:val="FF0000"/>
                <w:sz w:val="16"/>
                <w:szCs w:val="16"/>
              </w:rPr>
            </w:pPr>
          </w:p>
        </w:tc>
        <w:tc>
          <w:tcPr>
            <w:tcW w:w="1001" w:type="dxa"/>
            <w:tcBorders>
              <w:top w:val="nil"/>
              <w:left w:val="nil"/>
              <w:bottom w:val="nil"/>
              <w:right w:val="nil"/>
            </w:tcBorders>
            <w:noWrap/>
            <w:vAlign w:val="bottom"/>
          </w:tcPr>
          <w:p w:rsidR="00EB5B37" w:rsidRDefault="00EB5B37">
            <w:pPr>
              <w:rPr>
                <w:rFonts w:cs="Times New Roman"/>
                <w:color w:val="FF0000"/>
                <w:sz w:val="16"/>
                <w:szCs w:val="16"/>
              </w:rPr>
            </w:pPr>
          </w:p>
        </w:tc>
        <w:tc>
          <w:tcPr>
            <w:tcW w:w="1002" w:type="dxa"/>
            <w:tcBorders>
              <w:top w:val="nil"/>
              <w:left w:val="nil"/>
              <w:bottom w:val="nil"/>
              <w:right w:val="nil"/>
            </w:tcBorders>
            <w:noWrap/>
            <w:vAlign w:val="bottom"/>
          </w:tcPr>
          <w:p w:rsidR="00EB5B37" w:rsidRDefault="00EB5B37">
            <w:pPr>
              <w:rPr>
                <w:rFonts w:cs="Times New Roman"/>
                <w:color w:val="FF0000"/>
                <w:sz w:val="16"/>
                <w:szCs w:val="16"/>
              </w:rPr>
            </w:pPr>
          </w:p>
        </w:tc>
        <w:tc>
          <w:tcPr>
            <w:tcW w:w="889" w:type="dxa"/>
            <w:tcBorders>
              <w:top w:val="nil"/>
              <w:left w:val="nil"/>
              <w:bottom w:val="nil"/>
              <w:right w:val="nil"/>
            </w:tcBorders>
            <w:noWrap/>
            <w:vAlign w:val="bottom"/>
          </w:tcPr>
          <w:p w:rsidR="00EB5B37" w:rsidRDefault="00EB5B37">
            <w:pPr>
              <w:rPr>
                <w:rFonts w:cs="Times New Roman"/>
                <w:color w:val="FF0000"/>
                <w:sz w:val="16"/>
                <w:szCs w:val="16"/>
              </w:rPr>
            </w:pPr>
          </w:p>
        </w:tc>
        <w:tc>
          <w:tcPr>
            <w:tcW w:w="1107" w:type="dxa"/>
            <w:tcBorders>
              <w:top w:val="nil"/>
              <w:left w:val="nil"/>
              <w:bottom w:val="nil"/>
              <w:right w:val="nil"/>
            </w:tcBorders>
            <w:noWrap/>
            <w:vAlign w:val="bottom"/>
          </w:tcPr>
          <w:p w:rsidR="00EB5B37" w:rsidRDefault="00EB5B37">
            <w:pPr>
              <w:rPr>
                <w:rFonts w:cs="Times New Roman"/>
                <w:color w:val="FF0000"/>
                <w:sz w:val="16"/>
                <w:szCs w:val="16"/>
              </w:rPr>
            </w:pPr>
          </w:p>
        </w:tc>
        <w:tc>
          <w:tcPr>
            <w:tcW w:w="992" w:type="dxa"/>
            <w:tcBorders>
              <w:top w:val="nil"/>
              <w:left w:val="nil"/>
              <w:bottom w:val="nil"/>
              <w:right w:val="nil"/>
            </w:tcBorders>
            <w:noWrap/>
            <w:vAlign w:val="center"/>
          </w:tcPr>
          <w:p w:rsidR="00EB5B37" w:rsidRDefault="00EB5B37">
            <w:pPr>
              <w:rPr>
                <w:rFonts w:cs="Times New Roman"/>
                <w:color w:val="FF0000"/>
                <w:sz w:val="16"/>
                <w:szCs w:val="16"/>
              </w:rPr>
            </w:pPr>
          </w:p>
        </w:tc>
        <w:tc>
          <w:tcPr>
            <w:tcW w:w="958" w:type="dxa"/>
            <w:tcBorders>
              <w:top w:val="nil"/>
              <w:left w:val="nil"/>
              <w:bottom w:val="nil"/>
              <w:right w:val="nil"/>
            </w:tcBorders>
            <w:noWrap/>
            <w:vAlign w:val="bottom"/>
          </w:tcPr>
          <w:p w:rsidR="00EB5B37" w:rsidRDefault="00EB5B37">
            <w:pPr>
              <w:rPr>
                <w:rFonts w:cs="Times New Roman"/>
                <w:color w:val="FF0000"/>
                <w:sz w:val="16"/>
                <w:szCs w:val="16"/>
              </w:rPr>
            </w:pPr>
          </w:p>
        </w:tc>
      </w:tr>
      <w:tr w:rsidR="00EB5B37">
        <w:trPr>
          <w:trHeight w:val="300"/>
        </w:trPr>
        <w:tc>
          <w:tcPr>
            <w:tcW w:w="9478" w:type="dxa"/>
            <w:gridSpan w:val="9"/>
            <w:tcBorders>
              <w:top w:val="single" w:sz="8" w:space="0" w:color="auto"/>
              <w:left w:val="single" w:sz="8" w:space="0" w:color="auto"/>
              <w:bottom w:val="nil"/>
              <w:right w:val="single" w:sz="8" w:space="0" w:color="000000"/>
            </w:tcBorders>
            <w:noWrap/>
            <w:vAlign w:val="center"/>
          </w:tcPr>
          <w:p w:rsidR="00EB5B37" w:rsidRDefault="00EB5B37">
            <w:pPr>
              <w:jc w:val="left"/>
              <w:rPr>
                <w:rFonts w:cs="Times New Roman"/>
                <w:b/>
                <w:bCs/>
                <w:sz w:val="16"/>
                <w:szCs w:val="16"/>
              </w:rPr>
            </w:pPr>
            <w:r>
              <w:rPr>
                <w:rFonts w:cs="Times New Roman"/>
                <w:b/>
                <w:bCs/>
                <w:sz w:val="16"/>
                <w:szCs w:val="16"/>
              </w:rPr>
              <w:t>Амортизація</w:t>
            </w:r>
          </w:p>
        </w:tc>
      </w:tr>
      <w:tr w:rsidR="00EB5B37">
        <w:trPr>
          <w:trHeight w:val="473"/>
        </w:trPr>
        <w:tc>
          <w:tcPr>
            <w:tcW w:w="1382" w:type="dxa"/>
            <w:tcBorders>
              <w:top w:val="nil"/>
              <w:left w:val="single" w:sz="8" w:space="0" w:color="auto"/>
              <w:bottom w:val="single" w:sz="4" w:space="0" w:color="auto"/>
              <w:right w:val="single" w:sz="4" w:space="0" w:color="auto"/>
            </w:tcBorders>
            <w:shd w:val="clear" w:color="auto" w:fill="CCFFCC"/>
            <w:noWrap/>
            <w:vAlign w:val="center"/>
          </w:tcPr>
          <w:p w:rsidR="00EB5B37" w:rsidRDefault="00EB5B37">
            <w:pPr>
              <w:ind w:firstLine="0"/>
              <w:jc w:val="left"/>
              <w:rPr>
                <w:rFonts w:cs="Times New Roman"/>
                <w:b/>
                <w:bCs/>
                <w:sz w:val="16"/>
                <w:szCs w:val="16"/>
              </w:rPr>
            </w:pPr>
            <w:r>
              <w:rPr>
                <w:rFonts w:cs="Times New Roman"/>
                <w:b/>
                <w:bCs/>
                <w:sz w:val="16"/>
                <w:szCs w:val="16"/>
              </w:rPr>
              <w:t>Станом на 31.12.2014</w:t>
            </w:r>
          </w:p>
        </w:tc>
        <w:tc>
          <w:tcPr>
            <w:tcW w:w="1199" w:type="dxa"/>
            <w:tcBorders>
              <w:top w:val="nil"/>
              <w:left w:val="nil"/>
              <w:bottom w:val="single" w:sz="4" w:space="0" w:color="auto"/>
              <w:right w:val="nil"/>
            </w:tcBorders>
            <w:shd w:val="clear" w:color="auto" w:fill="CCFFCC"/>
            <w:noWrap/>
            <w:vAlign w:val="center"/>
          </w:tcPr>
          <w:p w:rsidR="00EB5B37" w:rsidRDefault="00EB5B37">
            <w:pPr>
              <w:ind w:firstLine="85"/>
              <w:jc w:val="center"/>
              <w:rPr>
                <w:rFonts w:cs="Times New Roman"/>
                <w:b/>
                <w:bCs/>
                <w:i/>
                <w:iCs/>
                <w:sz w:val="16"/>
                <w:szCs w:val="16"/>
              </w:rPr>
            </w:pPr>
            <w:r>
              <w:rPr>
                <w:rFonts w:cs="Times New Roman"/>
                <w:b/>
                <w:bCs/>
                <w:i/>
                <w:iCs/>
                <w:sz w:val="16"/>
                <w:szCs w:val="16"/>
              </w:rPr>
              <w:t>3 457</w:t>
            </w:r>
          </w:p>
        </w:tc>
        <w:tc>
          <w:tcPr>
            <w:tcW w:w="948" w:type="dxa"/>
            <w:tcBorders>
              <w:top w:val="nil"/>
              <w:left w:val="single" w:sz="4" w:space="0" w:color="auto"/>
              <w:bottom w:val="single" w:sz="4"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1 548</w:t>
            </w:r>
          </w:p>
        </w:tc>
        <w:tc>
          <w:tcPr>
            <w:tcW w:w="1001" w:type="dxa"/>
            <w:tcBorders>
              <w:top w:val="nil"/>
              <w:left w:val="single" w:sz="4" w:space="0" w:color="auto"/>
              <w:bottom w:val="single" w:sz="4"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1 284</w:t>
            </w:r>
          </w:p>
        </w:tc>
        <w:tc>
          <w:tcPr>
            <w:tcW w:w="1002" w:type="dxa"/>
            <w:tcBorders>
              <w:top w:val="nil"/>
              <w:left w:val="single" w:sz="4" w:space="0" w:color="auto"/>
              <w:bottom w:val="single" w:sz="4"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90</w:t>
            </w:r>
          </w:p>
        </w:tc>
        <w:tc>
          <w:tcPr>
            <w:tcW w:w="889" w:type="dxa"/>
            <w:tcBorders>
              <w:top w:val="nil"/>
              <w:left w:val="single" w:sz="4" w:space="0" w:color="auto"/>
              <w:bottom w:val="single" w:sz="4" w:space="0" w:color="auto"/>
              <w:right w:val="single" w:sz="4"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57</w:t>
            </w:r>
          </w:p>
        </w:tc>
        <w:tc>
          <w:tcPr>
            <w:tcW w:w="1107" w:type="dxa"/>
            <w:tcBorders>
              <w:top w:val="nil"/>
              <w:left w:val="nil"/>
              <w:bottom w:val="single" w:sz="4" w:space="0" w:color="auto"/>
              <w:right w:val="single" w:sz="4" w:space="0" w:color="auto"/>
            </w:tcBorders>
            <w:shd w:val="clear" w:color="auto" w:fill="CCFFCC"/>
            <w:noWrap/>
            <w:vAlign w:val="center"/>
          </w:tcPr>
          <w:p w:rsidR="00EB5B37" w:rsidRDefault="00EB5B37">
            <w:pPr>
              <w:ind w:firstLine="7"/>
              <w:jc w:val="center"/>
              <w:rPr>
                <w:rFonts w:cs="Times New Roman"/>
                <w:b/>
                <w:bCs/>
                <w:i/>
                <w:iCs/>
                <w:sz w:val="16"/>
                <w:szCs w:val="16"/>
              </w:rPr>
            </w:pPr>
            <w:r>
              <w:rPr>
                <w:rFonts w:cs="Times New Roman"/>
                <w:b/>
                <w:bCs/>
                <w:i/>
                <w:iCs/>
                <w:sz w:val="16"/>
                <w:szCs w:val="16"/>
              </w:rPr>
              <w:t>12</w:t>
            </w:r>
          </w:p>
        </w:tc>
        <w:tc>
          <w:tcPr>
            <w:tcW w:w="992" w:type="dxa"/>
            <w:tcBorders>
              <w:top w:val="nil"/>
              <w:left w:val="nil"/>
              <w:bottom w:val="single" w:sz="4" w:space="0" w:color="auto"/>
              <w:right w:val="single" w:sz="4" w:space="0" w:color="auto"/>
            </w:tcBorders>
            <w:shd w:val="clear" w:color="auto" w:fill="CCFFCC"/>
            <w:noWrap/>
            <w:vAlign w:val="center"/>
          </w:tcPr>
          <w:p w:rsidR="00EB5B37" w:rsidRDefault="00EB5B37">
            <w:pPr>
              <w:ind w:firstLine="34"/>
              <w:jc w:val="center"/>
              <w:rPr>
                <w:rFonts w:cs="Times New Roman"/>
                <w:b/>
                <w:bCs/>
                <w:i/>
                <w:iCs/>
                <w:sz w:val="16"/>
                <w:szCs w:val="16"/>
              </w:rPr>
            </w:pPr>
            <w:r>
              <w:rPr>
                <w:rFonts w:cs="Times New Roman"/>
                <w:b/>
                <w:bCs/>
                <w:i/>
                <w:iCs/>
                <w:sz w:val="16"/>
                <w:szCs w:val="16"/>
              </w:rPr>
              <w:t>6</w:t>
            </w:r>
          </w:p>
        </w:tc>
        <w:tc>
          <w:tcPr>
            <w:tcW w:w="958" w:type="dxa"/>
            <w:tcBorders>
              <w:top w:val="nil"/>
              <w:left w:val="nil"/>
              <w:bottom w:val="single" w:sz="4" w:space="0" w:color="auto"/>
              <w:right w:val="single" w:sz="8" w:space="0" w:color="auto"/>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6 454</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Нарахування амортизації</w:t>
            </w:r>
          </w:p>
        </w:tc>
        <w:tc>
          <w:tcPr>
            <w:tcW w:w="1199" w:type="dxa"/>
            <w:tcBorders>
              <w:top w:val="nil"/>
              <w:left w:val="nil"/>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74</w:t>
            </w:r>
          </w:p>
        </w:tc>
        <w:tc>
          <w:tcPr>
            <w:tcW w:w="948" w:type="dxa"/>
            <w:tcBorders>
              <w:top w:val="nil"/>
              <w:left w:val="single" w:sz="4" w:space="0" w:color="auto"/>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23</w:t>
            </w:r>
          </w:p>
        </w:tc>
        <w:tc>
          <w:tcPr>
            <w:tcW w:w="1001" w:type="dxa"/>
            <w:tcBorders>
              <w:top w:val="nil"/>
              <w:left w:val="single" w:sz="4" w:space="0" w:color="auto"/>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28</w:t>
            </w:r>
          </w:p>
        </w:tc>
        <w:tc>
          <w:tcPr>
            <w:tcW w:w="1002" w:type="dxa"/>
            <w:tcBorders>
              <w:top w:val="nil"/>
              <w:left w:val="single" w:sz="4" w:space="0" w:color="auto"/>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1</w:t>
            </w:r>
          </w:p>
        </w:tc>
        <w:tc>
          <w:tcPr>
            <w:tcW w:w="889" w:type="dxa"/>
            <w:tcBorders>
              <w:top w:val="nil"/>
              <w:left w:val="single" w:sz="4" w:space="0" w:color="auto"/>
              <w:bottom w:val="single" w:sz="4" w:space="0" w:color="auto"/>
              <w:right w:val="single" w:sz="4" w:space="0" w:color="auto"/>
            </w:tcBorders>
            <w:noWrap/>
            <w:vAlign w:val="center"/>
          </w:tcPr>
          <w:p w:rsidR="00EB5B37" w:rsidRDefault="00EB5B37">
            <w:pPr>
              <w:ind w:firstLine="45"/>
              <w:jc w:val="center"/>
              <w:rPr>
                <w:rFonts w:cs="Times New Roman"/>
                <w:sz w:val="16"/>
                <w:szCs w:val="16"/>
              </w:rPr>
            </w:pPr>
            <w:r>
              <w:rPr>
                <w:rFonts w:cs="Times New Roman"/>
                <w:sz w:val="16"/>
                <w:szCs w:val="16"/>
              </w:rPr>
              <w:t>1</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ind w:firstLine="0"/>
              <w:jc w:val="center"/>
              <w:rPr>
                <w:rFonts w:cs="Times New Roman"/>
                <w:b/>
                <w:bCs/>
                <w:i/>
                <w:iCs/>
                <w:sz w:val="16"/>
                <w:szCs w:val="16"/>
              </w:rPr>
            </w:pPr>
            <w:r>
              <w:rPr>
                <w:rFonts w:cs="Times New Roman"/>
                <w:b/>
                <w:bCs/>
                <w:i/>
                <w:iCs/>
                <w:sz w:val="16"/>
                <w:szCs w:val="16"/>
              </w:rPr>
              <w:t>127</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Інший рух (дооцінка)</w:t>
            </w:r>
          </w:p>
        </w:tc>
        <w:tc>
          <w:tcPr>
            <w:tcW w:w="1199" w:type="dxa"/>
            <w:tcBorders>
              <w:top w:val="nil"/>
              <w:left w:val="nil"/>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single" w:sz="4" w:space="0" w:color="auto"/>
              <w:bottom w:val="single" w:sz="4" w:space="0" w:color="auto"/>
              <w:right w:val="nil"/>
            </w:tcBorders>
            <w:noWrap/>
            <w:vAlign w:val="center"/>
          </w:tcPr>
          <w:p w:rsidR="00EB5B37" w:rsidRDefault="00EB5B37">
            <w:pPr>
              <w:ind w:firstLine="20"/>
              <w:jc w:val="center"/>
              <w:rPr>
                <w:rFonts w:cs="Times New Roman"/>
                <w:sz w:val="16"/>
                <w:szCs w:val="16"/>
              </w:rPr>
            </w:pPr>
            <w:r>
              <w:rPr>
                <w:rFonts w:cs="Times New Roman"/>
                <w:sz w:val="16"/>
                <w:szCs w:val="16"/>
              </w:rPr>
              <w:t>-</w:t>
            </w:r>
          </w:p>
        </w:tc>
        <w:tc>
          <w:tcPr>
            <w:tcW w:w="1001" w:type="dxa"/>
            <w:tcBorders>
              <w:top w:val="nil"/>
              <w:left w:val="single" w:sz="4" w:space="0" w:color="auto"/>
              <w:bottom w:val="single" w:sz="4" w:space="0" w:color="auto"/>
              <w:right w:val="nil"/>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single" w:sz="4" w:space="0" w:color="auto"/>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single" w:sz="4" w:space="0" w:color="auto"/>
              <w:bottom w:val="single" w:sz="4" w:space="0" w:color="auto"/>
              <w:right w:val="single" w:sz="4" w:space="0" w:color="auto"/>
            </w:tcBorders>
            <w:noWrap/>
            <w:vAlign w:val="center"/>
          </w:tcPr>
          <w:p w:rsidR="00EB5B37" w:rsidRDefault="00EB5B37">
            <w:pPr>
              <w:ind w:firstLine="45"/>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49"/>
              <w:jc w:val="left"/>
              <w:rPr>
                <w:rFonts w:cs="Times New Roman"/>
                <w:sz w:val="16"/>
                <w:szCs w:val="16"/>
              </w:rPr>
            </w:pPr>
            <w:r>
              <w:rPr>
                <w:rFonts w:cs="Times New Roman"/>
                <w:sz w:val="16"/>
                <w:szCs w:val="16"/>
              </w:rPr>
              <w:t>Вибуття</w:t>
            </w:r>
          </w:p>
        </w:tc>
        <w:tc>
          <w:tcPr>
            <w:tcW w:w="1199" w:type="dxa"/>
            <w:tcBorders>
              <w:top w:val="nil"/>
              <w:left w:val="nil"/>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single" w:sz="4" w:space="0" w:color="auto"/>
              <w:bottom w:val="single" w:sz="4" w:space="0" w:color="auto"/>
              <w:right w:val="nil"/>
            </w:tcBorders>
            <w:noWrap/>
            <w:vAlign w:val="center"/>
          </w:tcPr>
          <w:p w:rsidR="00EB5B37" w:rsidRDefault="00EB5B37">
            <w:pPr>
              <w:ind w:firstLine="20"/>
              <w:jc w:val="center"/>
              <w:rPr>
                <w:rFonts w:cs="Times New Roman"/>
                <w:sz w:val="16"/>
                <w:szCs w:val="16"/>
              </w:rPr>
            </w:pPr>
            <w:r>
              <w:rPr>
                <w:rFonts w:cs="Times New Roman"/>
                <w:sz w:val="16"/>
                <w:szCs w:val="16"/>
              </w:rPr>
              <w:t>-</w:t>
            </w:r>
          </w:p>
        </w:tc>
        <w:tc>
          <w:tcPr>
            <w:tcW w:w="1001" w:type="dxa"/>
            <w:tcBorders>
              <w:top w:val="nil"/>
              <w:left w:val="single" w:sz="4" w:space="0" w:color="auto"/>
              <w:bottom w:val="single" w:sz="4" w:space="0" w:color="auto"/>
              <w:right w:val="nil"/>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single" w:sz="4" w:space="0" w:color="auto"/>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single" w:sz="4" w:space="0" w:color="auto"/>
              <w:bottom w:val="single" w:sz="4" w:space="0" w:color="auto"/>
              <w:right w:val="single" w:sz="4" w:space="0" w:color="auto"/>
            </w:tcBorders>
            <w:noWrap/>
            <w:vAlign w:val="center"/>
          </w:tcPr>
          <w:p w:rsidR="00EB5B37" w:rsidRDefault="00EB5B37">
            <w:pPr>
              <w:ind w:firstLine="45"/>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0"/>
              <w:jc w:val="left"/>
              <w:rPr>
                <w:rFonts w:cs="Times New Roman"/>
                <w:sz w:val="16"/>
                <w:szCs w:val="16"/>
              </w:rPr>
            </w:pPr>
            <w:r>
              <w:rPr>
                <w:rFonts w:cs="Times New Roman"/>
                <w:sz w:val="16"/>
                <w:szCs w:val="16"/>
              </w:rPr>
              <w:t>Інший рух</w:t>
            </w:r>
          </w:p>
        </w:tc>
        <w:tc>
          <w:tcPr>
            <w:tcW w:w="1199" w:type="dxa"/>
            <w:tcBorders>
              <w:top w:val="nil"/>
              <w:left w:val="nil"/>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single" w:sz="4" w:space="0" w:color="auto"/>
              <w:bottom w:val="single" w:sz="4" w:space="0" w:color="auto"/>
              <w:right w:val="nil"/>
            </w:tcBorders>
            <w:noWrap/>
            <w:vAlign w:val="center"/>
          </w:tcPr>
          <w:p w:rsidR="00EB5B37" w:rsidRDefault="00EB5B37">
            <w:pPr>
              <w:ind w:firstLine="20"/>
              <w:jc w:val="center"/>
              <w:rPr>
                <w:rFonts w:cs="Times New Roman"/>
                <w:sz w:val="16"/>
                <w:szCs w:val="16"/>
              </w:rPr>
            </w:pPr>
            <w:r>
              <w:rPr>
                <w:rFonts w:cs="Times New Roman"/>
                <w:sz w:val="16"/>
                <w:szCs w:val="16"/>
              </w:rPr>
              <w:t>-</w:t>
            </w:r>
          </w:p>
        </w:tc>
        <w:tc>
          <w:tcPr>
            <w:tcW w:w="1001" w:type="dxa"/>
            <w:tcBorders>
              <w:top w:val="nil"/>
              <w:left w:val="single" w:sz="4" w:space="0" w:color="auto"/>
              <w:bottom w:val="single" w:sz="4" w:space="0" w:color="auto"/>
              <w:right w:val="nil"/>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single" w:sz="4" w:space="0" w:color="auto"/>
              <w:bottom w:val="single" w:sz="4" w:space="0" w:color="auto"/>
              <w:right w:val="nil"/>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single" w:sz="4" w:space="0" w:color="auto"/>
              <w:bottom w:val="single" w:sz="4" w:space="0" w:color="auto"/>
              <w:right w:val="single" w:sz="4" w:space="0" w:color="auto"/>
            </w:tcBorders>
            <w:noWrap/>
            <w:vAlign w:val="center"/>
          </w:tcPr>
          <w:p w:rsidR="00EB5B37" w:rsidRDefault="00EB5B37">
            <w:pPr>
              <w:ind w:firstLine="45"/>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w:t>
            </w:r>
          </w:p>
        </w:tc>
        <w:tc>
          <w:tcPr>
            <w:tcW w:w="958" w:type="dxa"/>
            <w:tcBorders>
              <w:top w:val="nil"/>
              <w:left w:val="nil"/>
              <w:bottom w:val="single" w:sz="4" w:space="0" w:color="auto"/>
              <w:right w:val="single" w:sz="8" w:space="0" w:color="auto"/>
            </w:tcBorders>
            <w:noWrap/>
            <w:vAlign w:val="center"/>
          </w:tcPr>
          <w:p w:rsidR="00EB5B37" w:rsidRDefault="00EB5B37">
            <w:pPr>
              <w:jc w:val="center"/>
              <w:rPr>
                <w:rFonts w:cs="Times New Roman"/>
                <w:b/>
                <w:bCs/>
                <w:i/>
                <w:iCs/>
                <w:sz w:val="16"/>
                <w:szCs w:val="16"/>
              </w:rPr>
            </w:pPr>
            <w:r>
              <w:rPr>
                <w:rFonts w:cs="Times New Roman"/>
                <w:b/>
                <w:bCs/>
                <w:i/>
                <w:iCs/>
                <w:sz w:val="16"/>
                <w:szCs w:val="16"/>
              </w:rPr>
              <w:t>0</w:t>
            </w:r>
          </w:p>
        </w:tc>
      </w:tr>
      <w:tr w:rsidR="00EB5B37">
        <w:trPr>
          <w:trHeight w:val="300"/>
        </w:trPr>
        <w:tc>
          <w:tcPr>
            <w:tcW w:w="1382" w:type="dxa"/>
            <w:tcBorders>
              <w:top w:val="nil"/>
              <w:left w:val="single" w:sz="8" w:space="0" w:color="auto"/>
              <w:bottom w:val="single" w:sz="4" w:space="0" w:color="auto"/>
              <w:right w:val="single" w:sz="4" w:space="0" w:color="auto"/>
            </w:tcBorders>
            <w:noWrap/>
            <w:vAlign w:val="center"/>
          </w:tcPr>
          <w:p w:rsidR="00EB5B37" w:rsidRDefault="00EB5B37">
            <w:pPr>
              <w:ind w:firstLine="49"/>
              <w:jc w:val="left"/>
              <w:rPr>
                <w:rFonts w:cs="Times New Roman"/>
                <w:sz w:val="16"/>
                <w:szCs w:val="16"/>
              </w:rPr>
            </w:pPr>
            <w:r>
              <w:rPr>
                <w:rFonts w:cs="Times New Roman"/>
                <w:sz w:val="16"/>
                <w:szCs w:val="16"/>
              </w:rPr>
              <w:t>Зменшення за рахунок вибуття дочірніх компаній</w:t>
            </w:r>
          </w:p>
        </w:tc>
        <w:tc>
          <w:tcPr>
            <w:tcW w:w="1199"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948" w:type="dxa"/>
            <w:tcBorders>
              <w:top w:val="nil"/>
              <w:left w:val="nil"/>
              <w:bottom w:val="single" w:sz="4" w:space="0" w:color="auto"/>
              <w:right w:val="single" w:sz="4" w:space="0" w:color="auto"/>
            </w:tcBorders>
            <w:noWrap/>
            <w:vAlign w:val="center"/>
          </w:tcPr>
          <w:p w:rsidR="00EB5B37" w:rsidRDefault="00EB5B37">
            <w:pPr>
              <w:ind w:firstLine="20"/>
              <w:jc w:val="center"/>
              <w:rPr>
                <w:rFonts w:cs="Times New Roman"/>
                <w:sz w:val="16"/>
                <w:szCs w:val="16"/>
              </w:rPr>
            </w:pPr>
            <w:r>
              <w:rPr>
                <w:rFonts w:cs="Times New Roman"/>
                <w:sz w:val="16"/>
                <w:szCs w:val="16"/>
              </w:rPr>
              <w:t>-</w:t>
            </w:r>
          </w:p>
        </w:tc>
        <w:tc>
          <w:tcPr>
            <w:tcW w:w="1001" w:type="dxa"/>
            <w:tcBorders>
              <w:top w:val="nil"/>
              <w:left w:val="nil"/>
              <w:bottom w:val="single" w:sz="4" w:space="0" w:color="auto"/>
              <w:right w:val="single" w:sz="4" w:space="0" w:color="auto"/>
            </w:tcBorders>
            <w:noWrap/>
            <w:vAlign w:val="center"/>
          </w:tcPr>
          <w:p w:rsidR="00EB5B37" w:rsidRDefault="00EB5B37">
            <w:pPr>
              <w:ind w:firstLine="64"/>
              <w:jc w:val="center"/>
              <w:rPr>
                <w:rFonts w:cs="Times New Roman"/>
                <w:sz w:val="16"/>
                <w:szCs w:val="16"/>
              </w:rPr>
            </w:pPr>
            <w:r>
              <w:rPr>
                <w:rFonts w:cs="Times New Roman"/>
                <w:sz w:val="16"/>
                <w:szCs w:val="16"/>
              </w:rPr>
              <w:t>-</w:t>
            </w:r>
          </w:p>
        </w:tc>
        <w:tc>
          <w:tcPr>
            <w:tcW w:w="1002" w:type="dxa"/>
            <w:tcBorders>
              <w:top w:val="nil"/>
              <w:left w:val="nil"/>
              <w:bottom w:val="single" w:sz="4" w:space="0" w:color="auto"/>
              <w:right w:val="single" w:sz="4" w:space="0" w:color="auto"/>
            </w:tcBorders>
            <w:noWrap/>
            <w:vAlign w:val="center"/>
          </w:tcPr>
          <w:p w:rsidR="00EB5B37" w:rsidRDefault="00EB5B37">
            <w:pPr>
              <w:ind w:firstLine="0"/>
              <w:jc w:val="center"/>
              <w:rPr>
                <w:rFonts w:cs="Times New Roman"/>
                <w:sz w:val="16"/>
                <w:szCs w:val="16"/>
              </w:rPr>
            </w:pPr>
            <w:r>
              <w:rPr>
                <w:rFonts w:cs="Times New Roman"/>
                <w:sz w:val="16"/>
                <w:szCs w:val="16"/>
              </w:rPr>
              <w:t>-</w:t>
            </w:r>
          </w:p>
        </w:tc>
        <w:tc>
          <w:tcPr>
            <w:tcW w:w="889" w:type="dxa"/>
            <w:tcBorders>
              <w:top w:val="nil"/>
              <w:left w:val="nil"/>
              <w:bottom w:val="single" w:sz="4" w:space="0" w:color="auto"/>
              <w:right w:val="single" w:sz="4" w:space="0" w:color="auto"/>
            </w:tcBorders>
            <w:noWrap/>
            <w:vAlign w:val="center"/>
          </w:tcPr>
          <w:p w:rsidR="00EB5B37" w:rsidRDefault="00EB5B37">
            <w:pPr>
              <w:ind w:firstLine="45"/>
              <w:jc w:val="center"/>
              <w:rPr>
                <w:rFonts w:cs="Times New Roman"/>
                <w:sz w:val="16"/>
                <w:szCs w:val="16"/>
              </w:rPr>
            </w:pPr>
            <w:r>
              <w:rPr>
                <w:rFonts w:cs="Times New Roman"/>
                <w:sz w:val="16"/>
                <w:szCs w:val="16"/>
              </w:rPr>
              <w:t>-</w:t>
            </w:r>
          </w:p>
        </w:tc>
        <w:tc>
          <w:tcPr>
            <w:tcW w:w="1107" w:type="dxa"/>
            <w:tcBorders>
              <w:top w:val="nil"/>
              <w:left w:val="nil"/>
              <w:bottom w:val="single" w:sz="4" w:space="0" w:color="auto"/>
              <w:right w:val="single" w:sz="4" w:space="0" w:color="auto"/>
            </w:tcBorders>
            <w:noWrap/>
            <w:vAlign w:val="center"/>
          </w:tcPr>
          <w:p w:rsidR="00EB5B37" w:rsidRDefault="00EB5B37">
            <w:pPr>
              <w:ind w:firstLine="7"/>
              <w:jc w:val="center"/>
              <w:rPr>
                <w:rFonts w:cs="Times New Roman"/>
                <w:sz w:val="16"/>
                <w:szCs w:val="16"/>
              </w:rPr>
            </w:pPr>
            <w:r>
              <w:rPr>
                <w:rFonts w:cs="Times New Roman"/>
                <w:sz w:val="16"/>
                <w:szCs w:val="16"/>
              </w:rPr>
              <w:t>-</w:t>
            </w:r>
          </w:p>
        </w:tc>
        <w:tc>
          <w:tcPr>
            <w:tcW w:w="992"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p>
        </w:tc>
        <w:tc>
          <w:tcPr>
            <w:tcW w:w="958" w:type="dxa"/>
            <w:tcBorders>
              <w:top w:val="nil"/>
              <w:left w:val="nil"/>
              <w:bottom w:val="single" w:sz="4" w:space="0" w:color="auto"/>
              <w:right w:val="single" w:sz="8" w:space="0" w:color="auto"/>
            </w:tcBorders>
            <w:noWrap/>
            <w:vAlign w:val="center"/>
          </w:tcPr>
          <w:p w:rsidR="00EB5B37" w:rsidRDefault="00EB5B37">
            <w:pPr>
              <w:jc w:val="center"/>
              <w:rPr>
                <w:rFonts w:cs="Times New Roman"/>
                <w:b/>
                <w:bCs/>
                <w:i/>
                <w:iCs/>
                <w:sz w:val="16"/>
                <w:szCs w:val="16"/>
              </w:rPr>
            </w:pPr>
            <w:r>
              <w:rPr>
                <w:rFonts w:cs="Times New Roman"/>
                <w:b/>
                <w:bCs/>
                <w:i/>
                <w:iCs/>
                <w:sz w:val="16"/>
                <w:szCs w:val="16"/>
              </w:rPr>
              <w:t>0</w:t>
            </w:r>
          </w:p>
        </w:tc>
      </w:tr>
      <w:tr w:rsidR="00EB5B37">
        <w:trPr>
          <w:trHeight w:val="504"/>
        </w:trPr>
        <w:tc>
          <w:tcPr>
            <w:tcW w:w="1382" w:type="dxa"/>
            <w:tcBorders>
              <w:top w:val="single" w:sz="4" w:space="0" w:color="auto"/>
              <w:left w:val="single" w:sz="8" w:space="0" w:color="auto"/>
              <w:bottom w:val="single" w:sz="8" w:space="0" w:color="auto"/>
              <w:right w:val="single" w:sz="4" w:space="0" w:color="auto"/>
            </w:tcBorders>
            <w:shd w:val="clear" w:color="auto" w:fill="CCFFCC"/>
            <w:noWrap/>
            <w:vAlign w:val="center"/>
          </w:tcPr>
          <w:p w:rsidR="00EB5B37" w:rsidRDefault="00EB5B37">
            <w:pPr>
              <w:ind w:firstLine="0"/>
              <w:jc w:val="left"/>
              <w:rPr>
                <w:rFonts w:cs="Times New Roman"/>
                <w:b/>
                <w:bCs/>
                <w:sz w:val="16"/>
                <w:szCs w:val="16"/>
              </w:rPr>
            </w:pPr>
            <w:r>
              <w:rPr>
                <w:rFonts w:cs="Times New Roman"/>
                <w:b/>
                <w:bCs/>
                <w:sz w:val="16"/>
                <w:szCs w:val="16"/>
              </w:rPr>
              <w:t>Станом на 31.12.2015</w:t>
            </w:r>
          </w:p>
        </w:tc>
        <w:tc>
          <w:tcPr>
            <w:tcW w:w="1199"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85"/>
              <w:jc w:val="center"/>
              <w:rPr>
                <w:rFonts w:cs="Times New Roman"/>
                <w:b/>
                <w:bCs/>
                <w:sz w:val="16"/>
                <w:szCs w:val="16"/>
              </w:rPr>
            </w:pPr>
            <w:r>
              <w:rPr>
                <w:rFonts w:cs="Times New Roman"/>
                <w:b/>
                <w:bCs/>
                <w:sz w:val="16"/>
                <w:szCs w:val="16"/>
              </w:rPr>
              <w:t>3 531</w:t>
            </w:r>
          </w:p>
        </w:tc>
        <w:tc>
          <w:tcPr>
            <w:tcW w:w="948"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1571</w:t>
            </w:r>
          </w:p>
        </w:tc>
        <w:tc>
          <w:tcPr>
            <w:tcW w:w="1001"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1 312</w:t>
            </w:r>
          </w:p>
        </w:tc>
        <w:tc>
          <w:tcPr>
            <w:tcW w:w="1002"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55"/>
              <w:jc w:val="center"/>
              <w:rPr>
                <w:rFonts w:cs="Times New Roman"/>
                <w:b/>
                <w:bCs/>
                <w:sz w:val="16"/>
                <w:szCs w:val="16"/>
              </w:rPr>
            </w:pPr>
            <w:r>
              <w:rPr>
                <w:rFonts w:cs="Times New Roman"/>
                <w:b/>
                <w:bCs/>
                <w:sz w:val="16"/>
                <w:szCs w:val="16"/>
              </w:rPr>
              <w:t>91</w:t>
            </w:r>
          </w:p>
        </w:tc>
        <w:tc>
          <w:tcPr>
            <w:tcW w:w="889"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58</w:t>
            </w:r>
          </w:p>
        </w:tc>
        <w:tc>
          <w:tcPr>
            <w:tcW w:w="1107"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7"/>
              <w:jc w:val="center"/>
              <w:rPr>
                <w:rFonts w:cs="Times New Roman"/>
                <w:b/>
                <w:bCs/>
                <w:sz w:val="16"/>
                <w:szCs w:val="16"/>
              </w:rPr>
            </w:pPr>
            <w:r>
              <w:rPr>
                <w:rFonts w:cs="Times New Roman"/>
                <w:b/>
                <w:bCs/>
                <w:sz w:val="16"/>
                <w:szCs w:val="16"/>
              </w:rPr>
              <w:t>12</w:t>
            </w:r>
          </w:p>
        </w:tc>
        <w:tc>
          <w:tcPr>
            <w:tcW w:w="992"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34"/>
              <w:jc w:val="center"/>
              <w:rPr>
                <w:rFonts w:cs="Times New Roman"/>
                <w:b/>
                <w:bCs/>
                <w:sz w:val="16"/>
                <w:szCs w:val="16"/>
              </w:rPr>
            </w:pPr>
            <w:r>
              <w:rPr>
                <w:rFonts w:cs="Times New Roman"/>
                <w:b/>
                <w:bCs/>
                <w:sz w:val="16"/>
                <w:szCs w:val="16"/>
              </w:rPr>
              <w:t>6</w:t>
            </w:r>
          </w:p>
        </w:tc>
        <w:tc>
          <w:tcPr>
            <w:tcW w:w="958" w:type="dxa"/>
            <w:tcBorders>
              <w:top w:val="single" w:sz="4" w:space="0" w:color="auto"/>
              <w:left w:val="nil"/>
              <w:bottom w:val="single" w:sz="8" w:space="0" w:color="auto"/>
              <w:right w:val="single" w:sz="4" w:space="0" w:color="auto"/>
            </w:tcBorders>
            <w:shd w:val="clear" w:color="auto" w:fill="CCFFCC"/>
            <w:noWrap/>
            <w:vAlign w:val="bottom"/>
          </w:tcPr>
          <w:p w:rsidR="00EB5B37" w:rsidRDefault="00EB5B37">
            <w:pPr>
              <w:ind w:firstLine="0"/>
              <w:jc w:val="center"/>
              <w:rPr>
                <w:rFonts w:cs="Times New Roman"/>
                <w:b/>
                <w:bCs/>
                <w:sz w:val="16"/>
                <w:szCs w:val="16"/>
              </w:rPr>
            </w:pPr>
            <w:r>
              <w:rPr>
                <w:rFonts w:cs="Times New Roman"/>
                <w:b/>
                <w:bCs/>
                <w:sz w:val="16"/>
                <w:szCs w:val="16"/>
              </w:rPr>
              <w:t>6 581</w:t>
            </w:r>
          </w:p>
        </w:tc>
      </w:tr>
      <w:tr w:rsidR="00EB5B37">
        <w:trPr>
          <w:trHeight w:val="315"/>
        </w:trPr>
        <w:tc>
          <w:tcPr>
            <w:tcW w:w="1382" w:type="dxa"/>
            <w:tcBorders>
              <w:top w:val="nil"/>
              <w:left w:val="single" w:sz="8" w:space="0" w:color="auto"/>
              <w:bottom w:val="single" w:sz="8" w:space="0" w:color="auto"/>
              <w:right w:val="nil"/>
            </w:tcBorders>
            <w:noWrap/>
            <w:vAlign w:val="bottom"/>
          </w:tcPr>
          <w:p w:rsidR="00EB5B37" w:rsidRDefault="00EB5B37">
            <w:pPr>
              <w:jc w:val="left"/>
              <w:rPr>
                <w:rFonts w:cs="Times New Roman"/>
                <w:color w:val="FF0000"/>
                <w:sz w:val="16"/>
                <w:szCs w:val="16"/>
              </w:rPr>
            </w:pPr>
            <w:r>
              <w:rPr>
                <w:rFonts w:cs="Times New Roman"/>
                <w:color w:val="FF0000"/>
                <w:sz w:val="16"/>
                <w:szCs w:val="16"/>
              </w:rPr>
              <w:t> </w:t>
            </w:r>
          </w:p>
        </w:tc>
        <w:tc>
          <w:tcPr>
            <w:tcW w:w="1199" w:type="dxa"/>
            <w:tcBorders>
              <w:top w:val="nil"/>
              <w:left w:val="nil"/>
              <w:bottom w:val="single" w:sz="8" w:space="0" w:color="auto"/>
              <w:right w:val="nil"/>
            </w:tcBorders>
            <w:noWrap/>
            <w:vAlign w:val="bottom"/>
          </w:tcPr>
          <w:p w:rsidR="00EB5B37" w:rsidRDefault="00EB5B37">
            <w:pPr>
              <w:jc w:val="center"/>
              <w:rPr>
                <w:rFonts w:cs="Times New Roman"/>
                <w:color w:val="FF0000"/>
                <w:sz w:val="16"/>
                <w:szCs w:val="16"/>
              </w:rPr>
            </w:pPr>
          </w:p>
        </w:tc>
        <w:tc>
          <w:tcPr>
            <w:tcW w:w="948" w:type="dxa"/>
            <w:tcBorders>
              <w:top w:val="nil"/>
              <w:left w:val="nil"/>
              <w:bottom w:val="single" w:sz="8" w:space="0" w:color="auto"/>
              <w:right w:val="nil"/>
            </w:tcBorders>
            <w:noWrap/>
            <w:vAlign w:val="bottom"/>
          </w:tcPr>
          <w:p w:rsidR="00EB5B37" w:rsidRDefault="00EB5B37">
            <w:pPr>
              <w:jc w:val="center"/>
              <w:rPr>
                <w:rFonts w:cs="Times New Roman"/>
                <w:color w:val="FF0000"/>
                <w:sz w:val="16"/>
                <w:szCs w:val="16"/>
              </w:rPr>
            </w:pPr>
          </w:p>
        </w:tc>
        <w:tc>
          <w:tcPr>
            <w:tcW w:w="1001" w:type="dxa"/>
            <w:tcBorders>
              <w:top w:val="nil"/>
              <w:left w:val="nil"/>
              <w:bottom w:val="single" w:sz="8" w:space="0" w:color="auto"/>
              <w:right w:val="nil"/>
            </w:tcBorders>
            <w:noWrap/>
            <w:vAlign w:val="bottom"/>
          </w:tcPr>
          <w:p w:rsidR="00EB5B37" w:rsidRDefault="00EB5B37">
            <w:pPr>
              <w:jc w:val="center"/>
              <w:rPr>
                <w:rFonts w:cs="Times New Roman"/>
                <w:color w:val="FF0000"/>
                <w:sz w:val="16"/>
                <w:szCs w:val="16"/>
              </w:rPr>
            </w:pPr>
          </w:p>
        </w:tc>
        <w:tc>
          <w:tcPr>
            <w:tcW w:w="1002" w:type="dxa"/>
            <w:tcBorders>
              <w:top w:val="nil"/>
              <w:left w:val="nil"/>
              <w:bottom w:val="single" w:sz="8" w:space="0" w:color="auto"/>
              <w:right w:val="nil"/>
            </w:tcBorders>
            <w:noWrap/>
            <w:vAlign w:val="bottom"/>
          </w:tcPr>
          <w:p w:rsidR="00EB5B37" w:rsidRDefault="00EB5B37">
            <w:pPr>
              <w:jc w:val="center"/>
              <w:rPr>
                <w:rFonts w:cs="Times New Roman"/>
                <w:color w:val="FF0000"/>
                <w:sz w:val="16"/>
                <w:szCs w:val="16"/>
              </w:rPr>
            </w:pPr>
          </w:p>
        </w:tc>
        <w:tc>
          <w:tcPr>
            <w:tcW w:w="889" w:type="dxa"/>
            <w:tcBorders>
              <w:top w:val="nil"/>
              <w:left w:val="nil"/>
              <w:bottom w:val="single" w:sz="8" w:space="0" w:color="auto"/>
              <w:right w:val="nil"/>
            </w:tcBorders>
            <w:noWrap/>
            <w:vAlign w:val="bottom"/>
          </w:tcPr>
          <w:p w:rsidR="00EB5B37" w:rsidRDefault="00EB5B37">
            <w:pPr>
              <w:jc w:val="center"/>
              <w:rPr>
                <w:rFonts w:cs="Times New Roman"/>
                <w:color w:val="FF0000"/>
                <w:sz w:val="16"/>
                <w:szCs w:val="16"/>
              </w:rPr>
            </w:pPr>
          </w:p>
        </w:tc>
        <w:tc>
          <w:tcPr>
            <w:tcW w:w="1107" w:type="dxa"/>
            <w:tcBorders>
              <w:top w:val="nil"/>
              <w:left w:val="nil"/>
              <w:bottom w:val="single" w:sz="8" w:space="0" w:color="auto"/>
              <w:right w:val="nil"/>
            </w:tcBorders>
            <w:noWrap/>
            <w:vAlign w:val="bottom"/>
          </w:tcPr>
          <w:p w:rsidR="00EB5B37" w:rsidRDefault="00EB5B37">
            <w:pPr>
              <w:jc w:val="center"/>
              <w:rPr>
                <w:rFonts w:cs="Times New Roman"/>
                <w:color w:val="FF0000"/>
                <w:sz w:val="16"/>
                <w:szCs w:val="16"/>
              </w:rPr>
            </w:pPr>
          </w:p>
        </w:tc>
        <w:tc>
          <w:tcPr>
            <w:tcW w:w="992" w:type="dxa"/>
            <w:tcBorders>
              <w:top w:val="nil"/>
              <w:left w:val="nil"/>
              <w:bottom w:val="single" w:sz="8" w:space="0" w:color="auto"/>
              <w:right w:val="nil"/>
            </w:tcBorders>
            <w:noWrap/>
            <w:vAlign w:val="bottom"/>
          </w:tcPr>
          <w:p w:rsidR="00EB5B37" w:rsidRDefault="00EB5B37">
            <w:pPr>
              <w:jc w:val="center"/>
              <w:rPr>
                <w:rFonts w:cs="Times New Roman"/>
                <w:color w:val="FF0000"/>
                <w:sz w:val="16"/>
                <w:szCs w:val="16"/>
              </w:rPr>
            </w:pPr>
          </w:p>
        </w:tc>
        <w:tc>
          <w:tcPr>
            <w:tcW w:w="958" w:type="dxa"/>
            <w:tcBorders>
              <w:top w:val="nil"/>
              <w:left w:val="nil"/>
              <w:bottom w:val="single" w:sz="8" w:space="0" w:color="auto"/>
              <w:right w:val="single" w:sz="8" w:space="0" w:color="auto"/>
            </w:tcBorders>
            <w:noWrap/>
            <w:vAlign w:val="bottom"/>
          </w:tcPr>
          <w:p w:rsidR="00EB5B37" w:rsidRDefault="00EB5B37">
            <w:pPr>
              <w:jc w:val="center"/>
              <w:rPr>
                <w:rFonts w:cs="Times New Roman"/>
                <w:color w:val="FF0000"/>
                <w:sz w:val="16"/>
                <w:szCs w:val="16"/>
              </w:rPr>
            </w:pPr>
          </w:p>
        </w:tc>
      </w:tr>
      <w:tr w:rsidR="00EB5B37">
        <w:trPr>
          <w:trHeight w:val="687"/>
        </w:trPr>
        <w:tc>
          <w:tcPr>
            <w:tcW w:w="1382"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EB5B37" w:rsidRDefault="00EB5B37">
            <w:pPr>
              <w:ind w:firstLine="0"/>
              <w:jc w:val="left"/>
              <w:rPr>
                <w:rFonts w:cs="Times New Roman"/>
                <w:b/>
                <w:bCs/>
                <w:sz w:val="16"/>
                <w:szCs w:val="16"/>
              </w:rPr>
            </w:pPr>
            <w:r>
              <w:rPr>
                <w:rFonts w:cs="Times New Roman"/>
                <w:b/>
                <w:bCs/>
                <w:sz w:val="16"/>
                <w:szCs w:val="16"/>
              </w:rPr>
              <w:t>Залишкова на 31.12.2014</w:t>
            </w:r>
          </w:p>
        </w:tc>
        <w:tc>
          <w:tcPr>
            <w:tcW w:w="1199" w:type="dxa"/>
            <w:tcBorders>
              <w:top w:val="single" w:sz="8" w:space="0" w:color="auto"/>
              <w:left w:val="nil"/>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1 497</w:t>
            </w:r>
          </w:p>
        </w:tc>
        <w:tc>
          <w:tcPr>
            <w:tcW w:w="948"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32</w:t>
            </w:r>
          </w:p>
        </w:tc>
        <w:tc>
          <w:tcPr>
            <w:tcW w:w="1001"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178</w:t>
            </w:r>
          </w:p>
        </w:tc>
        <w:tc>
          <w:tcPr>
            <w:tcW w:w="1002"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55"/>
              <w:jc w:val="center"/>
              <w:rPr>
                <w:rFonts w:cs="Times New Roman"/>
                <w:b/>
                <w:bCs/>
                <w:i/>
                <w:iCs/>
                <w:sz w:val="16"/>
                <w:szCs w:val="16"/>
              </w:rPr>
            </w:pPr>
            <w:r>
              <w:rPr>
                <w:rFonts w:cs="Times New Roman"/>
                <w:b/>
                <w:bCs/>
                <w:i/>
                <w:iCs/>
                <w:sz w:val="16"/>
                <w:szCs w:val="16"/>
              </w:rPr>
              <w:t>3</w:t>
            </w:r>
          </w:p>
        </w:tc>
        <w:tc>
          <w:tcPr>
            <w:tcW w:w="889"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2</w:t>
            </w:r>
          </w:p>
        </w:tc>
        <w:tc>
          <w:tcPr>
            <w:tcW w:w="1107"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7"/>
              <w:jc w:val="center"/>
              <w:rPr>
                <w:rFonts w:cs="Times New Roman"/>
                <w:b/>
                <w:bCs/>
                <w:i/>
                <w:iCs/>
                <w:sz w:val="16"/>
                <w:szCs w:val="16"/>
              </w:rPr>
            </w:pPr>
            <w:r>
              <w:rPr>
                <w:rFonts w:cs="Times New Roman"/>
                <w:b/>
                <w:bCs/>
                <w:i/>
                <w:iCs/>
                <w:sz w:val="16"/>
                <w:szCs w:val="16"/>
              </w:rPr>
              <w:t>0</w:t>
            </w:r>
          </w:p>
        </w:tc>
        <w:tc>
          <w:tcPr>
            <w:tcW w:w="992"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0</w:t>
            </w:r>
          </w:p>
        </w:tc>
        <w:tc>
          <w:tcPr>
            <w:tcW w:w="958"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1 713</w:t>
            </w:r>
          </w:p>
        </w:tc>
      </w:tr>
      <w:tr w:rsidR="00EB5B37">
        <w:trPr>
          <w:trHeight w:val="315"/>
        </w:trPr>
        <w:tc>
          <w:tcPr>
            <w:tcW w:w="1382" w:type="dxa"/>
            <w:tcBorders>
              <w:top w:val="nil"/>
              <w:left w:val="nil"/>
              <w:bottom w:val="single" w:sz="8" w:space="0" w:color="auto"/>
              <w:right w:val="nil"/>
            </w:tcBorders>
            <w:noWrap/>
            <w:vAlign w:val="center"/>
          </w:tcPr>
          <w:p w:rsidR="00EB5B37" w:rsidRDefault="00EB5B37">
            <w:pPr>
              <w:jc w:val="center"/>
              <w:rPr>
                <w:rFonts w:cs="Times New Roman"/>
                <w:b/>
                <w:bCs/>
                <w:color w:val="FF0000"/>
                <w:sz w:val="16"/>
                <w:szCs w:val="16"/>
              </w:rPr>
            </w:pPr>
          </w:p>
        </w:tc>
        <w:tc>
          <w:tcPr>
            <w:tcW w:w="1199"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c>
          <w:tcPr>
            <w:tcW w:w="948"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c>
          <w:tcPr>
            <w:tcW w:w="1001"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c>
          <w:tcPr>
            <w:tcW w:w="1002"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c>
          <w:tcPr>
            <w:tcW w:w="889"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c>
          <w:tcPr>
            <w:tcW w:w="1107"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c>
          <w:tcPr>
            <w:tcW w:w="992"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c>
          <w:tcPr>
            <w:tcW w:w="958" w:type="dxa"/>
            <w:tcBorders>
              <w:top w:val="nil"/>
              <w:left w:val="nil"/>
              <w:bottom w:val="single" w:sz="8" w:space="0" w:color="auto"/>
              <w:right w:val="nil"/>
            </w:tcBorders>
            <w:noWrap/>
            <w:vAlign w:val="center"/>
          </w:tcPr>
          <w:p w:rsidR="00EB5B37" w:rsidRDefault="00EB5B37">
            <w:pPr>
              <w:jc w:val="center"/>
              <w:rPr>
                <w:rFonts w:cs="Times New Roman"/>
                <w:b/>
                <w:bCs/>
                <w:i/>
                <w:iCs/>
                <w:color w:val="FF0000"/>
                <w:sz w:val="16"/>
                <w:szCs w:val="16"/>
              </w:rPr>
            </w:pPr>
          </w:p>
        </w:tc>
      </w:tr>
      <w:tr w:rsidR="00EB5B37">
        <w:trPr>
          <w:trHeight w:val="714"/>
        </w:trPr>
        <w:tc>
          <w:tcPr>
            <w:tcW w:w="1382"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EB5B37" w:rsidRDefault="00EB5B37">
            <w:pPr>
              <w:ind w:firstLine="0"/>
              <w:rPr>
                <w:rFonts w:cs="Times New Roman"/>
                <w:b/>
                <w:bCs/>
                <w:sz w:val="16"/>
                <w:szCs w:val="16"/>
              </w:rPr>
            </w:pPr>
            <w:r>
              <w:rPr>
                <w:rFonts w:cs="Times New Roman"/>
                <w:b/>
                <w:bCs/>
                <w:sz w:val="16"/>
                <w:szCs w:val="16"/>
              </w:rPr>
              <w:t>Залишкова  на 31.12.2015</w:t>
            </w:r>
          </w:p>
        </w:tc>
        <w:tc>
          <w:tcPr>
            <w:tcW w:w="1199" w:type="dxa"/>
            <w:tcBorders>
              <w:top w:val="single" w:sz="8" w:space="0" w:color="auto"/>
              <w:left w:val="nil"/>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1 988</w:t>
            </w:r>
          </w:p>
        </w:tc>
        <w:tc>
          <w:tcPr>
            <w:tcW w:w="948"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81</w:t>
            </w:r>
          </w:p>
        </w:tc>
        <w:tc>
          <w:tcPr>
            <w:tcW w:w="1001"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rPr>
            </w:pPr>
            <w:r>
              <w:rPr>
                <w:rFonts w:cs="Times New Roman"/>
                <w:b/>
                <w:bCs/>
                <w:i/>
                <w:iCs/>
                <w:sz w:val="16"/>
                <w:szCs w:val="16"/>
              </w:rPr>
              <w:t>150</w:t>
            </w:r>
          </w:p>
        </w:tc>
        <w:tc>
          <w:tcPr>
            <w:tcW w:w="1002"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jc w:val="center"/>
              <w:rPr>
                <w:rFonts w:cs="Times New Roman"/>
                <w:b/>
                <w:bCs/>
                <w:i/>
                <w:iCs/>
                <w:sz w:val="16"/>
                <w:szCs w:val="16"/>
              </w:rPr>
            </w:pPr>
            <w:r>
              <w:rPr>
                <w:rFonts w:cs="Times New Roman"/>
                <w:b/>
                <w:bCs/>
                <w:i/>
                <w:iCs/>
                <w:sz w:val="16"/>
                <w:szCs w:val="16"/>
              </w:rPr>
              <w:t>2</w:t>
            </w:r>
          </w:p>
        </w:tc>
        <w:tc>
          <w:tcPr>
            <w:tcW w:w="889"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jc w:val="center"/>
              <w:rPr>
                <w:rFonts w:cs="Times New Roman"/>
                <w:b/>
                <w:bCs/>
                <w:i/>
                <w:iCs/>
                <w:sz w:val="16"/>
                <w:szCs w:val="16"/>
              </w:rPr>
            </w:pPr>
            <w:r>
              <w:rPr>
                <w:rFonts w:cs="Times New Roman"/>
                <w:b/>
                <w:bCs/>
                <w:i/>
                <w:iCs/>
                <w:sz w:val="16"/>
                <w:szCs w:val="16"/>
              </w:rPr>
              <w:t>1</w:t>
            </w:r>
          </w:p>
        </w:tc>
        <w:tc>
          <w:tcPr>
            <w:tcW w:w="1107"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jc w:val="center"/>
              <w:rPr>
                <w:rFonts w:cs="Times New Roman"/>
                <w:b/>
                <w:bCs/>
                <w:i/>
                <w:iCs/>
                <w:sz w:val="16"/>
                <w:szCs w:val="16"/>
              </w:rPr>
            </w:pPr>
            <w:r>
              <w:rPr>
                <w:rFonts w:cs="Times New Roman"/>
                <w:b/>
                <w:bCs/>
                <w:i/>
                <w:iCs/>
                <w:sz w:val="16"/>
                <w:szCs w:val="16"/>
              </w:rPr>
              <w:t>0</w:t>
            </w:r>
          </w:p>
        </w:tc>
        <w:tc>
          <w:tcPr>
            <w:tcW w:w="992"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lang w:val="ru-RU"/>
              </w:rPr>
            </w:pPr>
            <w:r>
              <w:rPr>
                <w:rFonts w:cs="Times New Roman"/>
                <w:b/>
                <w:bCs/>
                <w:i/>
                <w:iCs/>
                <w:sz w:val="16"/>
                <w:szCs w:val="16"/>
                <w:lang w:val="ru-RU"/>
              </w:rPr>
              <w:t>18</w:t>
            </w:r>
          </w:p>
        </w:tc>
        <w:tc>
          <w:tcPr>
            <w:tcW w:w="958" w:type="dxa"/>
            <w:tcBorders>
              <w:top w:val="single" w:sz="8" w:space="0" w:color="auto"/>
              <w:left w:val="single" w:sz="4" w:space="0" w:color="auto"/>
              <w:bottom w:val="single" w:sz="8" w:space="0" w:color="auto"/>
              <w:right w:val="nil"/>
            </w:tcBorders>
            <w:shd w:val="clear" w:color="auto" w:fill="CCFFCC"/>
            <w:noWrap/>
            <w:vAlign w:val="center"/>
          </w:tcPr>
          <w:p w:rsidR="00EB5B37" w:rsidRDefault="00EB5B37">
            <w:pPr>
              <w:ind w:firstLine="0"/>
              <w:jc w:val="center"/>
              <w:rPr>
                <w:rFonts w:cs="Times New Roman"/>
                <w:b/>
                <w:bCs/>
                <w:i/>
                <w:iCs/>
                <w:sz w:val="16"/>
                <w:szCs w:val="16"/>
                <w:lang w:val="ru-RU"/>
              </w:rPr>
            </w:pPr>
            <w:r>
              <w:rPr>
                <w:rFonts w:cs="Times New Roman"/>
                <w:b/>
                <w:bCs/>
                <w:i/>
                <w:iCs/>
                <w:sz w:val="16"/>
                <w:szCs w:val="16"/>
              </w:rPr>
              <w:t>2 2</w:t>
            </w:r>
            <w:r>
              <w:rPr>
                <w:rFonts w:cs="Times New Roman"/>
                <w:b/>
                <w:bCs/>
                <w:i/>
                <w:iCs/>
                <w:sz w:val="16"/>
                <w:szCs w:val="16"/>
                <w:lang w:val="ru-RU"/>
              </w:rPr>
              <w:t>40</w:t>
            </w:r>
          </w:p>
        </w:tc>
      </w:tr>
    </w:tbl>
    <w:p w:rsidR="00EB5B37" w:rsidRDefault="00EB5B37">
      <w:pPr>
        <w:jc w:val="cente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r>
        <w:rPr>
          <w:rFonts w:cs="Times New Roman"/>
          <w:b/>
          <w:bCs/>
          <w:sz w:val="16"/>
          <w:szCs w:val="16"/>
          <w:lang w:val="ru-RU"/>
        </w:rPr>
        <w:t>5.2 Запаси</w:t>
      </w:r>
    </w:p>
    <w:p w:rsidR="00EB5B37" w:rsidRDefault="00EB5B37">
      <w:pPr>
        <w:rPr>
          <w:rFonts w:cs="Times New Roman"/>
          <w:b/>
          <w:bCs/>
          <w:sz w:val="16"/>
          <w:szCs w:val="16"/>
          <w:lang w:val="ru-RU"/>
        </w:rPr>
      </w:pPr>
    </w:p>
    <w:tbl>
      <w:tblPr>
        <w:tblW w:w="10334" w:type="dxa"/>
        <w:tblInd w:w="2" w:type="dxa"/>
        <w:tblLook w:val="0000"/>
      </w:tblPr>
      <w:tblGrid>
        <w:gridCol w:w="4683"/>
        <w:gridCol w:w="2693"/>
        <w:gridCol w:w="2552"/>
        <w:gridCol w:w="406"/>
      </w:tblGrid>
      <w:tr w:rsidR="00EB5B37">
        <w:trPr>
          <w:trHeight w:val="300"/>
        </w:trPr>
        <w:tc>
          <w:tcPr>
            <w:tcW w:w="10334" w:type="dxa"/>
            <w:gridSpan w:val="4"/>
            <w:tcBorders>
              <w:top w:val="nil"/>
              <w:left w:val="nil"/>
              <w:bottom w:val="nil"/>
              <w:right w:val="nil"/>
            </w:tcBorders>
            <w:noWrap/>
            <w:vAlign w:val="bottom"/>
          </w:tcPr>
          <w:p w:rsidR="00EB5B37" w:rsidRDefault="00EB5B37">
            <w:pPr>
              <w:rPr>
                <w:rFonts w:cs="Times New Roman"/>
                <w:b/>
                <w:bCs/>
                <w:sz w:val="16"/>
                <w:szCs w:val="16"/>
                <w:lang w:val="ru-RU"/>
              </w:rPr>
            </w:pPr>
          </w:p>
        </w:tc>
      </w:tr>
      <w:tr w:rsidR="00EB5B37">
        <w:trPr>
          <w:gridAfter w:val="1"/>
          <w:wAfter w:w="396" w:type="dxa"/>
          <w:trHeight w:val="720"/>
        </w:trPr>
        <w:tc>
          <w:tcPr>
            <w:tcW w:w="4683" w:type="dxa"/>
            <w:tcBorders>
              <w:top w:val="single" w:sz="4" w:space="0" w:color="auto"/>
              <w:left w:val="single" w:sz="4" w:space="0" w:color="auto"/>
              <w:bottom w:val="single" w:sz="4" w:space="0" w:color="auto"/>
              <w:right w:val="single" w:sz="4" w:space="0" w:color="auto"/>
            </w:tcBorders>
            <w:shd w:val="clear" w:color="000000" w:fill="CCFFCC"/>
            <w:vAlign w:val="center"/>
          </w:tcPr>
          <w:p w:rsidR="00EB5B37" w:rsidRDefault="00EB5B37">
            <w:pPr>
              <w:rPr>
                <w:rFonts w:cs="Times New Roman"/>
                <w:b/>
                <w:bCs/>
                <w:sz w:val="16"/>
                <w:szCs w:val="16"/>
              </w:rPr>
            </w:pPr>
            <w:r>
              <w:rPr>
                <w:rFonts w:cs="Times New Roman"/>
                <w:b/>
                <w:bCs/>
                <w:sz w:val="16"/>
                <w:szCs w:val="16"/>
              </w:rPr>
              <w:t>Найменування показника</w:t>
            </w:r>
          </w:p>
        </w:tc>
        <w:tc>
          <w:tcPr>
            <w:tcW w:w="2693" w:type="dxa"/>
            <w:tcBorders>
              <w:top w:val="single" w:sz="4" w:space="0" w:color="auto"/>
              <w:left w:val="nil"/>
              <w:bottom w:val="single" w:sz="4" w:space="0" w:color="auto"/>
              <w:right w:val="single" w:sz="4" w:space="0" w:color="auto"/>
            </w:tcBorders>
            <w:shd w:val="clear" w:color="000000" w:fill="CCFFCC"/>
            <w:vAlign w:val="center"/>
          </w:tcPr>
          <w:p w:rsidR="00EB5B37" w:rsidRDefault="00EB5B37">
            <w:pPr>
              <w:ind w:firstLine="34"/>
              <w:jc w:val="center"/>
              <w:rPr>
                <w:rFonts w:cs="Times New Roman"/>
                <w:b/>
                <w:bCs/>
                <w:sz w:val="16"/>
                <w:szCs w:val="16"/>
              </w:rPr>
            </w:pPr>
            <w:r>
              <w:rPr>
                <w:rFonts w:cs="Times New Roman"/>
                <w:b/>
                <w:bCs/>
                <w:sz w:val="16"/>
                <w:szCs w:val="16"/>
              </w:rPr>
              <w:t>На початок звітного періоду</w:t>
            </w:r>
          </w:p>
        </w:tc>
        <w:tc>
          <w:tcPr>
            <w:tcW w:w="2552" w:type="dxa"/>
            <w:tcBorders>
              <w:top w:val="single" w:sz="4" w:space="0" w:color="auto"/>
              <w:left w:val="nil"/>
              <w:bottom w:val="single" w:sz="4" w:space="0" w:color="auto"/>
              <w:right w:val="single" w:sz="4" w:space="0" w:color="auto"/>
            </w:tcBorders>
            <w:shd w:val="clear" w:color="000000" w:fill="CCFFCC"/>
            <w:vAlign w:val="center"/>
          </w:tcPr>
          <w:p w:rsidR="00EB5B37" w:rsidRDefault="00EB5B37">
            <w:pPr>
              <w:ind w:firstLine="0"/>
              <w:rPr>
                <w:rFonts w:cs="Times New Roman"/>
                <w:b/>
                <w:bCs/>
                <w:sz w:val="16"/>
                <w:szCs w:val="16"/>
              </w:rPr>
            </w:pPr>
            <w:r>
              <w:rPr>
                <w:rFonts w:cs="Times New Roman"/>
                <w:b/>
                <w:bCs/>
                <w:sz w:val="16"/>
                <w:szCs w:val="16"/>
              </w:rPr>
              <w:t xml:space="preserve"> На кінець звітного періоду </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Сировина і матеріали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3 199</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3 089</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Купівельні напівфабрикати та комплектуючі вироби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255"/>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Паливо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3</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Тара і тарні матеріали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Будівельні матеріали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Запасні частини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4</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Матеріали сільськогосподарського призначення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Інші матеріали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Малоцінні та швидкозношувані предмети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4</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7</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Незавершене виробництво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300"/>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Готова продукція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r>
      <w:tr w:rsidR="00EB5B37">
        <w:trPr>
          <w:gridAfter w:val="1"/>
          <w:wAfter w:w="396" w:type="dxa"/>
          <w:trHeight w:val="255"/>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Товари </w:t>
            </w:r>
          </w:p>
        </w:tc>
        <w:tc>
          <w:tcPr>
            <w:tcW w:w="2693"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w:t>
            </w:r>
          </w:p>
        </w:tc>
        <w:tc>
          <w:tcPr>
            <w:tcW w:w="2552"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298</w:t>
            </w:r>
          </w:p>
        </w:tc>
      </w:tr>
      <w:tr w:rsidR="00EB5B37">
        <w:trPr>
          <w:gridAfter w:val="1"/>
          <w:wAfter w:w="396" w:type="dxa"/>
          <w:trHeight w:val="255"/>
        </w:trPr>
        <w:tc>
          <w:tcPr>
            <w:tcW w:w="4683"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b/>
                <w:bCs/>
                <w:sz w:val="16"/>
                <w:szCs w:val="16"/>
              </w:rPr>
            </w:pPr>
            <w:r>
              <w:rPr>
                <w:rFonts w:cs="Times New Roman"/>
                <w:b/>
                <w:bCs/>
                <w:sz w:val="16"/>
                <w:szCs w:val="16"/>
              </w:rPr>
              <w:t xml:space="preserve"> Разом </w:t>
            </w:r>
          </w:p>
        </w:tc>
        <w:tc>
          <w:tcPr>
            <w:tcW w:w="2693"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b/>
                <w:bCs/>
                <w:sz w:val="16"/>
                <w:szCs w:val="16"/>
              </w:rPr>
            </w:pPr>
            <w:r>
              <w:rPr>
                <w:rFonts w:cs="Times New Roman"/>
                <w:b/>
                <w:bCs/>
                <w:sz w:val="16"/>
                <w:szCs w:val="16"/>
              </w:rPr>
              <w:t>3 206</w:t>
            </w:r>
          </w:p>
        </w:tc>
        <w:tc>
          <w:tcPr>
            <w:tcW w:w="2552"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b/>
                <w:bCs/>
                <w:sz w:val="16"/>
                <w:szCs w:val="16"/>
              </w:rPr>
            </w:pPr>
            <w:r>
              <w:rPr>
                <w:rFonts w:cs="Times New Roman"/>
                <w:b/>
                <w:bCs/>
                <w:sz w:val="16"/>
                <w:szCs w:val="16"/>
              </w:rPr>
              <w:t>3 398</w:t>
            </w:r>
          </w:p>
        </w:tc>
      </w:tr>
    </w:tbl>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p>
    <w:p w:rsidR="00EB5B37" w:rsidRDefault="00EB5B37">
      <w:pPr>
        <w:rPr>
          <w:rFonts w:cs="Times New Roman"/>
          <w:b/>
          <w:bCs/>
          <w:sz w:val="16"/>
          <w:szCs w:val="16"/>
          <w:lang w:val="ru-RU"/>
        </w:rPr>
      </w:pPr>
      <w:r>
        <w:rPr>
          <w:rFonts w:cs="Times New Roman"/>
          <w:b/>
          <w:bCs/>
          <w:sz w:val="16"/>
          <w:szCs w:val="16"/>
          <w:lang w:val="ru-RU"/>
        </w:rPr>
        <w:t>5.3 Грошові кошти та їх еквіваленти</w:t>
      </w:r>
    </w:p>
    <w:p w:rsidR="00EB5B37" w:rsidRDefault="00EB5B37">
      <w:pPr>
        <w:rPr>
          <w:rFonts w:cs="Times New Roman"/>
          <w:b/>
          <w:bCs/>
          <w:sz w:val="16"/>
          <w:szCs w:val="16"/>
          <w:lang w:val="ru-RU"/>
        </w:rPr>
      </w:pPr>
    </w:p>
    <w:tbl>
      <w:tblPr>
        <w:tblW w:w="9938" w:type="dxa"/>
        <w:tblInd w:w="2" w:type="dxa"/>
        <w:tblLook w:val="0000"/>
      </w:tblPr>
      <w:tblGrid>
        <w:gridCol w:w="1862"/>
        <w:gridCol w:w="1862"/>
        <w:gridCol w:w="959"/>
        <w:gridCol w:w="903"/>
        <w:gridCol w:w="1862"/>
        <w:gridCol w:w="212"/>
        <w:gridCol w:w="2278"/>
      </w:tblGrid>
      <w:tr w:rsidR="00EB5B37">
        <w:trPr>
          <w:gridAfter w:val="2"/>
          <w:wAfter w:w="2490" w:type="dxa"/>
          <w:trHeight w:val="300"/>
        </w:trPr>
        <w:tc>
          <w:tcPr>
            <w:tcW w:w="7448" w:type="dxa"/>
            <w:gridSpan w:val="5"/>
            <w:tcBorders>
              <w:top w:val="nil"/>
              <w:left w:val="nil"/>
              <w:bottom w:val="nil"/>
              <w:right w:val="nil"/>
            </w:tcBorders>
            <w:noWrap/>
            <w:vAlign w:val="bottom"/>
          </w:tcPr>
          <w:p w:rsidR="00EB5B37" w:rsidRDefault="00EB5B37">
            <w:pPr>
              <w:rPr>
                <w:rFonts w:cs="Times New Roman"/>
                <w:b/>
                <w:bCs/>
                <w:sz w:val="16"/>
                <w:szCs w:val="16"/>
                <w:lang w:val="ru-RU"/>
              </w:rPr>
            </w:pPr>
          </w:p>
        </w:tc>
      </w:tr>
      <w:tr w:rsidR="00EB5B37">
        <w:trPr>
          <w:trHeight w:val="720"/>
        </w:trPr>
        <w:tc>
          <w:tcPr>
            <w:tcW w:w="4683" w:type="dxa"/>
            <w:gridSpan w:val="3"/>
            <w:tcBorders>
              <w:top w:val="single" w:sz="4" w:space="0" w:color="auto"/>
              <w:left w:val="single" w:sz="4" w:space="0" w:color="auto"/>
              <w:bottom w:val="single" w:sz="4" w:space="0" w:color="auto"/>
              <w:right w:val="single" w:sz="4" w:space="0" w:color="auto"/>
            </w:tcBorders>
            <w:shd w:val="clear" w:color="000000" w:fill="CCFFCC"/>
            <w:vAlign w:val="center"/>
          </w:tcPr>
          <w:p w:rsidR="00EB5B37" w:rsidRDefault="00EB5B37">
            <w:pPr>
              <w:rPr>
                <w:rFonts w:cs="Times New Roman"/>
                <w:b/>
                <w:bCs/>
                <w:sz w:val="16"/>
                <w:szCs w:val="16"/>
                <w:lang w:val="ru-RU"/>
              </w:rPr>
            </w:pPr>
            <w:r>
              <w:rPr>
                <w:rFonts w:cs="Times New Roman"/>
                <w:b/>
                <w:bCs/>
                <w:sz w:val="16"/>
                <w:szCs w:val="16"/>
                <w:lang w:val="ru-RU"/>
              </w:rPr>
              <w:t>Найменування показника</w:t>
            </w:r>
          </w:p>
        </w:tc>
        <w:tc>
          <w:tcPr>
            <w:tcW w:w="2977" w:type="dxa"/>
            <w:gridSpan w:val="3"/>
            <w:tcBorders>
              <w:top w:val="single" w:sz="4" w:space="0" w:color="auto"/>
              <w:left w:val="nil"/>
              <w:bottom w:val="single" w:sz="4" w:space="0" w:color="auto"/>
              <w:right w:val="single" w:sz="4" w:space="0" w:color="auto"/>
            </w:tcBorders>
            <w:shd w:val="clear" w:color="000000" w:fill="CCFFCC"/>
            <w:vAlign w:val="center"/>
          </w:tcPr>
          <w:p w:rsidR="00EB5B37" w:rsidRDefault="00EB5B37">
            <w:pPr>
              <w:ind w:firstLine="0"/>
              <w:jc w:val="center"/>
              <w:rPr>
                <w:rFonts w:cs="Times New Roman"/>
                <w:b/>
                <w:bCs/>
                <w:sz w:val="16"/>
                <w:szCs w:val="16"/>
                <w:lang w:val="ru-RU"/>
              </w:rPr>
            </w:pPr>
            <w:r>
              <w:rPr>
                <w:rFonts w:cs="Times New Roman"/>
                <w:b/>
                <w:bCs/>
                <w:sz w:val="16"/>
                <w:szCs w:val="16"/>
                <w:lang w:val="ru-RU"/>
              </w:rPr>
              <w:t>На початок звітного періоду</w:t>
            </w:r>
          </w:p>
        </w:tc>
        <w:tc>
          <w:tcPr>
            <w:tcW w:w="2268" w:type="dxa"/>
            <w:tcBorders>
              <w:top w:val="single" w:sz="4" w:space="0" w:color="auto"/>
              <w:left w:val="nil"/>
              <w:bottom w:val="single" w:sz="4" w:space="0" w:color="auto"/>
              <w:right w:val="single" w:sz="4" w:space="0" w:color="auto"/>
            </w:tcBorders>
            <w:shd w:val="clear" w:color="000000" w:fill="CCFFCC"/>
            <w:vAlign w:val="center"/>
          </w:tcPr>
          <w:p w:rsidR="00EB5B37" w:rsidRDefault="00EB5B37">
            <w:pPr>
              <w:ind w:firstLine="34"/>
              <w:rPr>
                <w:rFonts w:cs="Times New Roman"/>
                <w:b/>
                <w:bCs/>
                <w:sz w:val="16"/>
                <w:szCs w:val="16"/>
                <w:lang w:val="ru-RU"/>
              </w:rPr>
            </w:pPr>
            <w:r>
              <w:rPr>
                <w:rFonts w:cs="Times New Roman"/>
                <w:b/>
                <w:bCs/>
                <w:sz w:val="16"/>
                <w:szCs w:val="16"/>
                <w:lang w:val="ru-RU"/>
              </w:rPr>
              <w:t xml:space="preserve"> На кінець звітного періоду </w:t>
            </w:r>
          </w:p>
        </w:tc>
      </w:tr>
      <w:tr w:rsidR="00EB5B37">
        <w:trPr>
          <w:trHeight w:val="255"/>
        </w:trPr>
        <w:tc>
          <w:tcPr>
            <w:tcW w:w="4683" w:type="dxa"/>
            <w:gridSpan w:val="3"/>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lang w:val="ru-RU"/>
              </w:rPr>
            </w:pPr>
            <w:r>
              <w:rPr>
                <w:rFonts w:cs="Times New Roman"/>
                <w:sz w:val="16"/>
                <w:szCs w:val="16"/>
                <w:lang w:val="ru-RU"/>
              </w:rPr>
              <w:t xml:space="preserve"> Гроші та їх еквіваленти: </w:t>
            </w:r>
          </w:p>
        </w:tc>
        <w:tc>
          <w:tcPr>
            <w:tcW w:w="2977" w:type="dxa"/>
            <w:gridSpan w:val="3"/>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lang w:val="ru-RU"/>
              </w:rPr>
            </w:pPr>
            <w:r>
              <w:rPr>
                <w:rFonts w:cs="Times New Roman"/>
                <w:sz w:val="16"/>
                <w:szCs w:val="16"/>
                <w:lang w:val="ru-RU"/>
              </w:rPr>
              <w:t>0</w:t>
            </w:r>
          </w:p>
        </w:tc>
        <w:tc>
          <w:tcPr>
            <w:tcW w:w="2268"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lang w:val="ru-RU"/>
              </w:rPr>
            </w:pPr>
            <w:r>
              <w:rPr>
                <w:rFonts w:cs="Times New Roman"/>
                <w:sz w:val="16"/>
                <w:szCs w:val="16"/>
                <w:lang w:val="ru-RU"/>
              </w:rPr>
              <w:t>2</w:t>
            </w:r>
          </w:p>
        </w:tc>
      </w:tr>
      <w:tr w:rsidR="00EB5B37">
        <w:trPr>
          <w:trHeight w:val="255"/>
        </w:trPr>
        <w:tc>
          <w:tcPr>
            <w:tcW w:w="4683" w:type="dxa"/>
            <w:gridSpan w:val="3"/>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b/>
                <w:bCs/>
                <w:sz w:val="16"/>
                <w:szCs w:val="16"/>
                <w:lang w:val="ru-RU"/>
              </w:rPr>
            </w:pPr>
            <w:r>
              <w:rPr>
                <w:rFonts w:cs="Times New Roman"/>
                <w:b/>
                <w:bCs/>
                <w:sz w:val="16"/>
                <w:szCs w:val="16"/>
                <w:lang w:val="ru-RU"/>
              </w:rPr>
              <w:t xml:space="preserve"> Разом </w:t>
            </w:r>
          </w:p>
        </w:tc>
        <w:tc>
          <w:tcPr>
            <w:tcW w:w="2977" w:type="dxa"/>
            <w:gridSpan w:val="3"/>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lang w:val="ru-RU"/>
              </w:rPr>
            </w:pPr>
            <w:r>
              <w:rPr>
                <w:rFonts w:cs="Times New Roman"/>
                <w:sz w:val="16"/>
                <w:szCs w:val="16"/>
                <w:lang w:val="ru-RU"/>
              </w:rPr>
              <w:t>0</w:t>
            </w:r>
          </w:p>
        </w:tc>
        <w:tc>
          <w:tcPr>
            <w:tcW w:w="2268"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lang w:val="ru-RU"/>
              </w:rPr>
            </w:pPr>
            <w:r>
              <w:rPr>
                <w:rFonts w:cs="Times New Roman"/>
                <w:sz w:val="16"/>
                <w:szCs w:val="16"/>
                <w:lang w:val="ru-RU"/>
              </w:rPr>
              <w:t>2</w:t>
            </w:r>
          </w:p>
        </w:tc>
      </w:tr>
      <w:tr w:rsidR="00EB5B37">
        <w:trPr>
          <w:gridAfter w:val="2"/>
          <w:wAfter w:w="2490" w:type="dxa"/>
          <w:trHeight w:val="300"/>
        </w:trPr>
        <w:tc>
          <w:tcPr>
            <w:tcW w:w="1862" w:type="dxa"/>
            <w:tcBorders>
              <w:top w:val="nil"/>
              <w:left w:val="nil"/>
              <w:bottom w:val="nil"/>
              <w:right w:val="nil"/>
            </w:tcBorders>
            <w:noWrap/>
            <w:vAlign w:val="bottom"/>
          </w:tcPr>
          <w:p w:rsidR="00EB5B37" w:rsidRDefault="00EB5B37">
            <w:pPr>
              <w:rPr>
                <w:rFonts w:cs="Times New Roman"/>
                <w:sz w:val="16"/>
                <w:szCs w:val="16"/>
                <w:lang w:val="ru-RU"/>
              </w:rPr>
            </w:pPr>
          </w:p>
        </w:tc>
        <w:tc>
          <w:tcPr>
            <w:tcW w:w="1862" w:type="dxa"/>
            <w:tcBorders>
              <w:top w:val="nil"/>
              <w:left w:val="nil"/>
              <w:bottom w:val="nil"/>
              <w:right w:val="nil"/>
            </w:tcBorders>
            <w:noWrap/>
            <w:vAlign w:val="bottom"/>
          </w:tcPr>
          <w:p w:rsidR="00EB5B37" w:rsidRDefault="00EB5B37">
            <w:pPr>
              <w:rPr>
                <w:rFonts w:cs="Times New Roman"/>
                <w:sz w:val="16"/>
                <w:szCs w:val="16"/>
                <w:lang w:val="ru-RU"/>
              </w:rPr>
            </w:pPr>
          </w:p>
          <w:p w:rsidR="00EB5B37" w:rsidRDefault="00EB5B37">
            <w:pPr>
              <w:rPr>
                <w:rFonts w:cs="Times New Roman"/>
                <w:sz w:val="16"/>
                <w:szCs w:val="16"/>
                <w:lang w:val="ru-RU"/>
              </w:rPr>
            </w:pPr>
          </w:p>
        </w:tc>
        <w:tc>
          <w:tcPr>
            <w:tcW w:w="1862" w:type="dxa"/>
            <w:gridSpan w:val="2"/>
            <w:tcBorders>
              <w:top w:val="nil"/>
              <w:left w:val="nil"/>
              <w:bottom w:val="nil"/>
              <w:right w:val="nil"/>
            </w:tcBorders>
            <w:noWrap/>
            <w:vAlign w:val="bottom"/>
          </w:tcPr>
          <w:p w:rsidR="00EB5B37" w:rsidRDefault="00EB5B37">
            <w:pPr>
              <w:rPr>
                <w:rFonts w:cs="Times New Roman"/>
                <w:sz w:val="16"/>
                <w:szCs w:val="16"/>
                <w:lang w:val="ru-RU"/>
              </w:rPr>
            </w:pPr>
          </w:p>
        </w:tc>
        <w:tc>
          <w:tcPr>
            <w:tcW w:w="1862" w:type="dxa"/>
            <w:tcBorders>
              <w:top w:val="nil"/>
              <w:left w:val="nil"/>
              <w:bottom w:val="nil"/>
              <w:right w:val="nil"/>
            </w:tcBorders>
            <w:noWrap/>
            <w:vAlign w:val="bottom"/>
          </w:tcPr>
          <w:p w:rsidR="00EB5B37" w:rsidRDefault="00EB5B37">
            <w:pPr>
              <w:rPr>
                <w:rFonts w:cs="Times New Roman"/>
                <w:sz w:val="16"/>
                <w:szCs w:val="16"/>
                <w:lang w:val="ru-RU"/>
              </w:rPr>
            </w:pPr>
          </w:p>
        </w:tc>
      </w:tr>
    </w:tbl>
    <w:p w:rsidR="00EB5B37" w:rsidRDefault="00EB5B37">
      <w:pPr>
        <w:rPr>
          <w:rFonts w:cs="Times New Roman"/>
          <w:b/>
          <w:bCs/>
          <w:sz w:val="16"/>
          <w:szCs w:val="16"/>
          <w:lang w:val="ru-RU"/>
        </w:rPr>
      </w:pPr>
    </w:p>
    <w:p w:rsidR="00EB5B37" w:rsidRDefault="00EB5B37">
      <w:pPr>
        <w:rPr>
          <w:rFonts w:cs="Times New Roman"/>
          <w:b/>
          <w:bCs/>
          <w:sz w:val="16"/>
          <w:szCs w:val="16"/>
          <w:lang w:val="ru-RU"/>
        </w:rPr>
      </w:pPr>
      <w:r>
        <w:rPr>
          <w:rFonts w:cs="Times New Roman"/>
          <w:b/>
          <w:bCs/>
          <w:sz w:val="16"/>
          <w:szCs w:val="16"/>
          <w:lang w:val="ru-RU"/>
        </w:rPr>
        <w:t>5.4 Торгова кредиторська заборгованість</w:t>
      </w:r>
    </w:p>
    <w:p w:rsidR="00EB5B37" w:rsidRDefault="00EB5B37">
      <w:pPr>
        <w:rPr>
          <w:rFonts w:cs="Times New Roman"/>
          <w:b/>
          <w:bCs/>
          <w:sz w:val="16"/>
          <w:szCs w:val="16"/>
          <w:lang w:val="ru-RU"/>
        </w:rPr>
      </w:pPr>
    </w:p>
    <w:tbl>
      <w:tblPr>
        <w:tblW w:w="9938" w:type="dxa"/>
        <w:tblInd w:w="2" w:type="dxa"/>
        <w:tblLook w:val="0000"/>
      </w:tblPr>
      <w:tblGrid>
        <w:gridCol w:w="5544"/>
        <w:gridCol w:w="2126"/>
        <w:gridCol w:w="283"/>
        <w:gridCol w:w="1985"/>
      </w:tblGrid>
      <w:tr w:rsidR="00EB5B37">
        <w:trPr>
          <w:trHeight w:val="720"/>
        </w:trPr>
        <w:tc>
          <w:tcPr>
            <w:tcW w:w="5534" w:type="dxa"/>
            <w:tcBorders>
              <w:top w:val="single" w:sz="4" w:space="0" w:color="auto"/>
              <w:left w:val="single" w:sz="4" w:space="0" w:color="auto"/>
              <w:bottom w:val="single" w:sz="4" w:space="0" w:color="auto"/>
              <w:right w:val="single" w:sz="4" w:space="0" w:color="auto"/>
            </w:tcBorders>
            <w:shd w:val="clear" w:color="000000" w:fill="CCFFCC"/>
            <w:vAlign w:val="center"/>
          </w:tcPr>
          <w:p w:rsidR="00EB5B37" w:rsidRDefault="00EB5B37">
            <w:pPr>
              <w:rPr>
                <w:rFonts w:cs="Times New Roman"/>
                <w:b/>
                <w:bCs/>
                <w:sz w:val="16"/>
                <w:szCs w:val="16"/>
              </w:rPr>
            </w:pPr>
            <w:r>
              <w:rPr>
                <w:rFonts w:cs="Times New Roman"/>
                <w:b/>
                <w:bCs/>
                <w:sz w:val="16"/>
                <w:szCs w:val="16"/>
              </w:rPr>
              <w:t>Найменування показника</w:t>
            </w:r>
          </w:p>
        </w:tc>
        <w:tc>
          <w:tcPr>
            <w:tcW w:w="2126" w:type="dxa"/>
            <w:tcBorders>
              <w:top w:val="single" w:sz="4" w:space="0" w:color="auto"/>
              <w:left w:val="nil"/>
              <w:bottom w:val="single" w:sz="4" w:space="0" w:color="auto"/>
              <w:right w:val="single" w:sz="4" w:space="0" w:color="auto"/>
            </w:tcBorders>
            <w:shd w:val="clear" w:color="000000" w:fill="CCFFCC"/>
            <w:vAlign w:val="center"/>
          </w:tcPr>
          <w:p w:rsidR="00EB5B37" w:rsidRDefault="00EB5B37">
            <w:pPr>
              <w:ind w:firstLine="0"/>
              <w:rPr>
                <w:rFonts w:cs="Times New Roman"/>
                <w:b/>
                <w:bCs/>
                <w:sz w:val="16"/>
                <w:szCs w:val="16"/>
              </w:rPr>
            </w:pPr>
            <w:r>
              <w:rPr>
                <w:rFonts w:cs="Times New Roman"/>
                <w:b/>
                <w:bCs/>
                <w:sz w:val="16"/>
                <w:szCs w:val="16"/>
              </w:rPr>
              <w:t xml:space="preserve"> На початок звітного періоду </w:t>
            </w:r>
          </w:p>
        </w:tc>
        <w:tc>
          <w:tcPr>
            <w:tcW w:w="2268" w:type="dxa"/>
            <w:gridSpan w:val="2"/>
            <w:tcBorders>
              <w:top w:val="single" w:sz="4" w:space="0" w:color="auto"/>
              <w:left w:val="nil"/>
              <w:bottom w:val="single" w:sz="4" w:space="0" w:color="auto"/>
              <w:right w:val="single" w:sz="4" w:space="0" w:color="auto"/>
            </w:tcBorders>
            <w:shd w:val="clear" w:color="000000" w:fill="CCFFCC"/>
            <w:vAlign w:val="center"/>
          </w:tcPr>
          <w:p w:rsidR="00EB5B37" w:rsidRDefault="00EB5B37">
            <w:pPr>
              <w:ind w:firstLine="0"/>
              <w:rPr>
                <w:rFonts w:cs="Times New Roman"/>
                <w:b/>
                <w:bCs/>
                <w:sz w:val="16"/>
                <w:szCs w:val="16"/>
              </w:rPr>
            </w:pPr>
            <w:r>
              <w:rPr>
                <w:rFonts w:cs="Times New Roman"/>
                <w:b/>
                <w:bCs/>
                <w:sz w:val="16"/>
                <w:szCs w:val="16"/>
              </w:rPr>
              <w:t xml:space="preserve"> На кінець звітного періоду </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Короткострокові кредити банків </w:t>
            </w:r>
          </w:p>
        </w:tc>
        <w:tc>
          <w:tcPr>
            <w:tcW w:w="2126" w:type="dxa"/>
            <w:tcBorders>
              <w:top w:val="nil"/>
              <w:left w:val="nil"/>
              <w:bottom w:val="single" w:sz="4" w:space="0" w:color="auto"/>
              <w:right w:val="single" w:sz="4" w:space="0" w:color="auto"/>
            </w:tcBorders>
            <w:shd w:val="clear" w:color="000000" w:fill="FFFFFF"/>
            <w:vAlign w:val="bottom"/>
          </w:tcPr>
          <w:p w:rsidR="00EB5B37" w:rsidRDefault="00EB5B37">
            <w:pPr>
              <w:ind w:firstLine="34"/>
              <w:jc w:val="center"/>
              <w:rPr>
                <w:rFonts w:cs="Times New Roman"/>
                <w:sz w:val="16"/>
                <w:szCs w:val="16"/>
              </w:rPr>
            </w:pPr>
            <w:r>
              <w:rPr>
                <w:rFonts w:cs="Times New Roman"/>
                <w:sz w:val="16"/>
                <w:szCs w:val="16"/>
              </w:rPr>
              <w:t>250</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350</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Поточна кредиторська заборгованість за: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довгостроковими зобов’язаннями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товари, роботи, послуги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3 735</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4 416</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розрахунками з бюджетом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70</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145</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у тому числі з податку на прибуток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42</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54</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розрахунками зі страхування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1</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13</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розрахунками з оплати праці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13</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27</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Поточні забезпечення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Доходи майбутніх періодів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w:t>
            </w:r>
          </w:p>
        </w:tc>
      </w:tr>
      <w:tr w:rsidR="00EB5B37">
        <w:trPr>
          <w:trHeight w:val="240"/>
        </w:trPr>
        <w:tc>
          <w:tcPr>
            <w:tcW w:w="5534" w:type="dxa"/>
            <w:tcBorders>
              <w:top w:val="nil"/>
              <w:left w:val="single" w:sz="4" w:space="0" w:color="auto"/>
              <w:bottom w:val="single" w:sz="4" w:space="0" w:color="auto"/>
              <w:right w:val="single" w:sz="4" w:space="0" w:color="auto"/>
            </w:tcBorders>
            <w:shd w:val="clear" w:color="000000" w:fill="CCFFCC"/>
          </w:tcPr>
          <w:p w:rsidR="00EB5B37" w:rsidRDefault="00EB5B37">
            <w:pPr>
              <w:rPr>
                <w:rFonts w:cs="Times New Roman"/>
                <w:sz w:val="16"/>
                <w:szCs w:val="16"/>
              </w:rPr>
            </w:pPr>
            <w:r>
              <w:rPr>
                <w:rFonts w:cs="Times New Roman"/>
                <w:sz w:val="16"/>
                <w:szCs w:val="16"/>
              </w:rPr>
              <w:t xml:space="preserve"> Інші поточні зобов’язання </w:t>
            </w:r>
          </w:p>
        </w:tc>
        <w:tc>
          <w:tcPr>
            <w:tcW w:w="2126" w:type="dxa"/>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346</w:t>
            </w:r>
          </w:p>
        </w:tc>
        <w:tc>
          <w:tcPr>
            <w:tcW w:w="2268" w:type="dxa"/>
            <w:gridSpan w:val="2"/>
            <w:tcBorders>
              <w:top w:val="nil"/>
              <w:left w:val="nil"/>
              <w:bottom w:val="single" w:sz="4" w:space="0" w:color="auto"/>
              <w:right w:val="single" w:sz="4" w:space="0" w:color="auto"/>
            </w:tcBorders>
            <w:shd w:val="clear" w:color="000000" w:fill="FFFFFF"/>
            <w:vAlign w:val="center"/>
          </w:tcPr>
          <w:p w:rsidR="00EB5B37" w:rsidRDefault="00EB5B37">
            <w:pPr>
              <w:ind w:firstLine="34"/>
              <w:jc w:val="center"/>
              <w:rPr>
                <w:rFonts w:cs="Times New Roman"/>
                <w:sz w:val="16"/>
                <w:szCs w:val="16"/>
              </w:rPr>
            </w:pPr>
            <w:r>
              <w:rPr>
                <w:rFonts w:cs="Times New Roman"/>
                <w:sz w:val="16"/>
                <w:szCs w:val="16"/>
              </w:rPr>
              <w:t>416</w:t>
            </w:r>
          </w:p>
        </w:tc>
      </w:tr>
      <w:tr w:rsidR="00EB5B37">
        <w:trPr>
          <w:trHeight w:val="300"/>
        </w:trPr>
        <w:tc>
          <w:tcPr>
            <w:tcW w:w="5544" w:type="dxa"/>
            <w:tcBorders>
              <w:top w:val="nil"/>
              <w:left w:val="nil"/>
              <w:bottom w:val="nil"/>
              <w:right w:val="nil"/>
            </w:tcBorders>
            <w:noWrap/>
            <w:vAlign w:val="center"/>
          </w:tcPr>
          <w:p w:rsidR="00EB5B37" w:rsidRDefault="00EB5B37">
            <w:pPr>
              <w:rPr>
                <w:rFonts w:cs="Times New Roman"/>
                <w:b/>
                <w:bCs/>
                <w:sz w:val="16"/>
                <w:szCs w:val="16"/>
              </w:rPr>
            </w:pPr>
          </w:p>
          <w:p w:rsidR="00EB5B37" w:rsidRDefault="00EB5B37">
            <w:pPr>
              <w:rPr>
                <w:rFonts w:cs="Times New Roman"/>
                <w:b/>
                <w:bCs/>
                <w:sz w:val="16"/>
                <w:szCs w:val="16"/>
              </w:rPr>
            </w:pPr>
          </w:p>
          <w:p w:rsidR="00EB5B37" w:rsidRDefault="00EB5B37">
            <w:pPr>
              <w:rPr>
                <w:rFonts w:cs="Times New Roman"/>
                <w:b/>
                <w:bCs/>
                <w:sz w:val="16"/>
                <w:szCs w:val="16"/>
              </w:rPr>
            </w:pPr>
          </w:p>
          <w:p w:rsidR="00EB5B37" w:rsidRDefault="00EB5B37">
            <w:pPr>
              <w:rPr>
                <w:rFonts w:cs="Times New Roman"/>
                <w:b/>
                <w:bCs/>
                <w:sz w:val="16"/>
                <w:szCs w:val="16"/>
              </w:rPr>
            </w:pPr>
            <w:r>
              <w:rPr>
                <w:rFonts w:cs="Times New Roman"/>
                <w:b/>
                <w:bCs/>
                <w:sz w:val="16"/>
                <w:szCs w:val="16"/>
              </w:rPr>
              <w:t>5.5. Дохід від реалізації.</w:t>
            </w:r>
          </w:p>
        </w:tc>
        <w:tc>
          <w:tcPr>
            <w:tcW w:w="2409" w:type="dxa"/>
            <w:gridSpan w:val="2"/>
            <w:tcBorders>
              <w:top w:val="nil"/>
              <w:left w:val="nil"/>
              <w:bottom w:val="nil"/>
              <w:right w:val="nil"/>
            </w:tcBorders>
            <w:noWrap/>
          </w:tcPr>
          <w:p w:rsidR="00EB5B37" w:rsidRDefault="00EB5B37">
            <w:pPr>
              <w:rPr>
                <w:rFonts w:cs="Times New Roman"/>
                <w:sz w:val="16"/>
                <w:szCs w:val="16"/>
              </w:rPr>
            </w:pPr>
          </w:p>
        </w:tc>
        <w:tc>
          <w:tcPr>
            <w:tcW w:w="1985" w:type="dxa"/>
            <w:tcBorders>
              <w:top w:val="nil"/>
              <w:left w:val="nil"/>
              <w:bottom w:val="nil"/>
              <w:right w:val="nil"/>
            </w:tcBorders>
            <w:noWrap/>
            <w:vAlign w:val="bottom"/>
          </w:tcPr>
          <w:p w:rsidR="00EB5B37" w:rsidRDefault="00EB5B37">
            <w:pPr>
              <w:rPr>
                <w:rFonts w:cs="Times New Roman"/>
                <w:sz w:val="16"/>
                <w:szCs w:val="16"/>
              </w:rPr>
            </w:pPr>
          </w:p>
        </w:tc>
      </w:tr>
      <w:tr w:rsidR="00EB5B37">
        <w:trPr>
          <w:trHeight w:val="315"/>
        </w:trPr>
        <w:tc>
          <w:tcPr>
            <w:tcW w:w="5544" w:type="dxa"/>
            <w:tcBorders>
              <w:top w:val="nil"/>
              <w:left w:val="nil"/>
              <w:bottom w:val="single" w:sz="8" w:space="0" w:color="auto"/>
              <w:right w:val="nil"/>
            </w:tcBorders>
            <w:noWrap/>
            <w:vAlign w:val="center"/>
          </w:tcPr>
          <w:p w:rsidR="00EB5B37" w:rsidRDefault="00EB5B37">
            <w:pPr>
              <w:rPr>
                <w:rFonts w:cs="Times New Roman"/>
                <w:b/>
                <w:bCs/>
                <w:sz w:val="16"/>
                <w:szCs w:val="16"/>
              </w:rPr>
            </w:pPr>
          </w:p>
        </w:tc>
        <w:tc>
          <w:tcPr>
            <w:tcW w:w="2409" w:type="dxa"/>
            <w:gridSpan w:val="2"/>
            <w:tcBorders>
              <w:top w:val="nil"/>
              <w:left w:val="nil"/>
              <w:bottom w:val="single" w:sz="8" w:space="0" w:color="auto"/>
              <w:right w:val="nil"/>
            </w:tcBorders>
            <w:noWrap/>
          </w:tcPr>
          <w:p w:rsidR="00EB5B37" w:rsidRDefault="00EB5B37">
            <w:pPr>
              <w:rPr>
                <w:rFonts w:cs="Times New Roman"/>
                <w:sz w:val="16"/>
                <w:szCs w:val="16"/>
              </w:rPr>
            </w:pPr>
          </w:p>
        </w:tc>
        <w:tc>
          <w:tcPr>
            <w:tcW w:w="1985" w:type="dxa"/>
            <w:tcBorders>
              <w:top w:val="nil"/>
              <w:left w:val="nil"/>
              <w:bottom w:val="single" w:sz="8" w:space="0" w:color="auto"/>
              <w:right w:val="nil"/>
            </w:tcBorders>
            <w:noWrap/>
            <w:vAlign w:val="bottom"/>
          </w:tcPr>
          <w:p w:rsidR="00EB5B37" w:rsidRDefault="00EB5B37">
            <w:pPr>
              <w:rPr>
                <w:rFonts w:cs="Times New Roman"/>
                <w:sz w:val="16"/>
                <w:szCs w:val="16"/>
              </w:rPr>
            </w:pPr>
          </w:p>
        </w:tc>
      </w:tr>
      <w:tr w:rsidR="00EB5B37">
        <w:trPr>
          <w:trHeight w:val="570"/>
        </w:trPr>
        <w:tc>
          <w:tcPr>
            <w:tcW w:w="5544" w:type="dxa"/>
            <w:tcBorders>
              <w:top w:val="single" w:sz="8" w:space="0" w:color="auto"/>
              <w:left w:val="single" w:sz="8" w:space="0" w:color="auto"/>
              <w:bottom w:val="single" w:sz="4" w:space="0" w:color="auto"/>
              <w:right w:val="single" w:sz="4" w:space="0" w:color="auto"/>
            </w:tcBorders>
            <w:shd w:val="clear" w:color="auto" w:fill="CCFFCC"/>
            <w:vAlign w:val="center"/>
          </w:tcPr>
          <w:p w:rsidR="00EB5B37" w:rsidRDefault="00EB5B37">
            <w:pPr>
              <w:rPr>
                <w:rFonts w:cs="Times New Roman"/>
                <w:b/>
                <w:bCs/>
                <w:sz w:val="16"/>
                <w:szCs w:val="16"/>
              </w:rPr>
            </w:pPr>
            <w:r>
              <w:rPr>
                <w:rFonts w:cs="Times New Roman"/>
                <w:b/>
                <w:bCs/>
                <w:sz w:val="16"/>
                <w:szCs w:val="16"/>
              </w:rPr>
              <w:t>Дохід від реалізації продукції (товарів, робіт, послуг)</w:t>
            </w:r>
          </w:p>
        </w:tc>
        <w:tc>
          <w:tcPr>
            <w:tcW w:w="2409" w:type="dxa"/>
            <w:gridSpan w:val="2"/>
            <w:tcBorders>
              <w:top w:val="single" w:sz="8" w:space="0" w:color="auto"/>
              <w:left w:val="nil"/>
              <w:bottom w:val="single" w:sz="4" w:space="0" w:color="auto"/>
              <w:right w:val="single" w:sz="4" w:space="0" w:color="auto"/>
            </w:tcBorders>
            <w:shd w:val="clear" w:color="auto" w:fill="CCFFCC"/>
            <w:noWrap/>
            <w:vAlign w:val="bottom"/>
          </w:tcPr>
          <w:p w:rsidR="00EB5B37" w:rsidRDefault="00EB5B37">
            <w:pPr>
              <w:ind w:firstLine="34"/>
              <w:jc w:val="center"/>
              <w:rPr>
                <w:rFonts w:cs="Times New Roman"/>
                <w:b/>
                <w:bCs/>
                <w:sz w:val="16"/>
                <w:szCs w:val="16"/>
              </w:rPr>
            </w:pPr>
            <w:r>
              <w:rPr>
                <w:rFonts w:cs="Times New Roman"/>
                <w:b/>
                <w:bCs/>
                <w:sz w:val="16"/>
                <w:szCs w:val="16"/>
              </w:rPr>
              <w:t>2 014р.</w:t>
            </w:r>
          </w:p>
        </w:tc>
        <w:tc>
          <w:tcPr>
            <w:tcW w:w="1985" w:type="dxa"/>
            <w:tcBorders>
              <w:top w:val="single" w:sz="8" w:space="0" w:color="auto"/>
              <w:left w:val="nil"/>
              <w:bottom w:val="single" w:sz="4" w:space="0" w:color="auto"/>
              <w:right w:val="single" w:sz="8" w:space="0" w:color="auto"/>
            </w:tcBorders>
            <w:shd w:val="clear" w:color="auto" w:fill="CCFFCC"/>
            <w:noWrap/>
            <w:vAlign w:val="bottom"/>
          </w:tcPr>
          <w:p w:rsidR="00EB5B37" w:rsidRDefault="00EB5B37">
            <w:pPr>
              <w:ind w:firstLine="34"/>
              <w:jc w:val="center"/>
              <w:rPr>
                <w:rFonts w:cs="Times New Roman"/>
                <w:b/>
                <w:bCs/>
                <w:sz w:val="16"/>
                <w:szCs w:val="16"/>
              </w:rPr>
            </w:pPr>
            <w:r>
              <w:rPr>
                <w:rFonts w:cs="Times New Roman"/>
                <w:b/>
                <w:bCs/>
                <w:sz w:val="16"/>
                <w:szCs w:val="16"/>
              </w:rPr>
              <w:t>2 015р.</w:t>
            </w:r>
          </w:p>
        </w:tc>
      </w:tr>
      <w:tr w:rsidR="00EB5B37">
        <w:trPr>
          <w:trHeight w:val="399"/>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bottom"/>
          </w:tcPr>
          <w:p w:rsidR="00EB5B37" w:rsidRDefault="00EB5B37">
            <w:pPr>
              <w:rPr>
                <w:rFonts w:cs="Times New Roman"/>
                <w:b/>
                <w:bCs/>
                <w:sz w:val="16"/>
                <w:szCs w:val="16"/>
              </w:rPr>
            </w:pPr>
            <w:r>
              <w:rPr>
                <w:rFonts w:cs="Times New Roman"/>
                <w:b/>
                <w:bCs/>
                <w:sz w:val="16"/>
                <w:szCs w:val="16"/>
              </w:rPr>
              <w:t xml:space="preserve"> Дохід від реалізації продукції</w:t>
            </w:r>
          </w:p>
        </w:tc>
        <w:tc>
          <w:tcPr>
            <w:tcW w:w="2409" w:type="dxa"/>
            <w:gridSpan w:val="2"/>
            <w:tcBorders>
              <w:top w:val="single" w:sz="4" w:space="0" w:color="auto"/>
              <w:left w:val="nil"/>
              <w:bottom w:val="single" w:sz="4" w:space="0" w:color="auto"/>
              <w:right w:val="single" w:sz="4" w:space="0" w:color="auto"/>
            </w:tcBorders>
            <w:shd w:val="clear" w:color="auto" w:fill="CCFFCC"/>
            <w:noWrap/>
          </w:tcPr>
          <w:p w:rsidR="00EB5B37" w:rsidRDefault="00EB5B37">
            <w:pPr>
              <w:ind w:firstLine="34"/>
              <w:jc w:val="center"/>
              <w:rPr>
                <w:rFonts w:cs="Times New Roman"/>
                <w:sz w:val="16"/>
                <w:szCs w:val="16"/>
              </w:rPr>
            </w:pPr>
          </w:p>
          <w:p w:rsidR="00EB5B37" w:rsidRDefault="00EB5B37">
            <w:pPr>
              <w:ind w:firstLine="34"/>
              <w:jc w:val="center"/>
              <w:rPr>
                <w:rFonts w:cs="Times New Roman"/>
                <w:sz w:val="16"/>
                <w:szCs w:val="16"/>
              </w:rPr>
            </w:pPr>
            <w:r>
              <w:rPr>
                <w:rFonts w:cs="Times New Roman"/>
                <w:sz w:val="16"/>
                <w:szCs w:val="16"/>
              </w:rPr>
              <w:t>6 043</w:t>
            </w:r>
          </w:p>
        </w:tc>
        <w:tc>
          <w:tcPr>
            <w:tcW w:w="1985" w:type="dxa"/>
            <w:tcBorders>
              <w:top w:val="single" w:sz="4" w:space="0" w:color="auto"/>
              <w:left w:val="nil"/>
              <w:bottom w:val="single" w:sz="4" w:space="0" w:color="auto"/>
              <w:right w:val="single" w:sz="8" w:space="0" w:color="auto"/>
            </w:tcBorders>
            <w:shd w:val="clear" w:color="auto" w:fill="CCFFCC"/>
            <w:noWrap/>
            <w:vAlign w:val="bottom"/>
          </w:tcPr>
          <w:p w:rsidR="00EB5B37" w:rsidRDefault="00EB5B37">
            <w:pPr>
              <w:ind w:firstLine="34"/>
              <w:jc w:val="center"/>
              <w:rPr>
                <w:rFonts w:cs="Times New Roman"/>
                <w:sz w:val="16"/>
                <w:szCs w:val="16"/>
              </w:rPr>
            </w:pPr>
            <w:r>
              <w:rPr>
                <w:rFonts w:cs="Times New Roman"/>
                <w:sz w:val="16"/>
                <w:szCs w:val="16"/>
              </w:rPr>
              <w:t>8 119</w:t>
            </w:r>
          </w:p>
        </w:tc>
      </w:tr>
      <w:tr w:rsidR="00EB5B37">
        <w:trPr>
          <w:trHeight w:val="300"/>
        </w:trPr>
        <w:tc>
          <w:tcPr>
            <w:tcW w:w="5544" w:type="dxa"/>
            <w:tcBorders>
              <w:top w:val="nil"/>
              <w:left w:val="nil"/>
              <w:bottom w:val="nil"/>
              <w:right w:val="nil"/>
            </w:tcBorders>
            <w:noWrap/>
            <w:vAlign w:val="bottom"/>
          </w:tcPr>
          <w:p w:rsidR="00EB5B37" w:rsidRDefault="00EB5B37">
            <w:pPr>
              <w:rPr>
                <w:rFonts w:cs="Times New Roman"/>
                <w:sz w:val="16"/>
                <w:szCs w:val="16"/>
              </w:rPr>
            </w:pPr>
          </w:p>
          <w:p w:rsidR="00EB5B37" w:rsidRDefault="00EB5B37">
            <w:pPr>
              <w:ind w:firstLine="0"/>
              <w:rPr>
                <w:rFonts w:cs="Times New Roman"/>
                <w:sz w:val="16"/>
                <w:szCs w:val="16"/>
              </w:rPr>
            </w:pPr>
          </w:p>
        </w:tc>
        <w:tc>
          <w:tcPr>
            <w:tcW w:w="2409" w:type="dxa"/>
            <w:gridSpan w:val="2"/>
            <w:tcBorders>
              <w:top w:val="nil"/>
              <w:left w:val="nil"/>
              <w:bottom w:val="nil"/>
              <w:right w:val="nil"/>
            </w:tcBorders>
            <w:noWrap/>
            <w:vAlign w:val="bottom"/>
          </w:tcPr>
          <w:p w:rsidR="00EB5B37" w:rsidRDefault="00EB5B37">
            <w:pPr>
              <w:rPr>
                <w:rFonts w:cs="Times New Roman"/>
                <w:sz w:val="16"/>
                <w:szCs w:val="16"/>
              </w:rPr>
            </w:pPr>
          </w:p>
        </w:tc>
        <w:tc>
          <w:tcPr>
            <w:tcW w:w="1985" w:type="dxa"/>
            <w:tcBorders>
              <w:top w:val="nil"/>
              <w:left w:val="nil"/>
              <w:bottom w:val="nil"/>
              <w:right w:val="nil"/>
            </w:tcBorders>
            <w:noWrap/>
            <w:vAlign w:val="bottom"/>
          </w:tcPr>
          <w:p w:rsidR="00EB5B37" w:rsidRDefault="00EB5B37">
            <w:pPr>
              <w:rPr>
                <w:rFonts w:cs="Times New Roman"/>
                <w:sz w:val="16"/>
                <w:szCs w:val="16"/>
              </w:rPr>
            </w:pPr>
          </w:p>
        </w:tc>
      </w:tr>
      <w:tr w:rsidR="00EB5B37">
        <w:trPr>
          <w:trHeight w:val="300"/>
        </w:trPr>
        <w:tc>
          <w:tcPr>
            <w:tcW w:w="5544" w:type="dxa"/>
            <w:tcBorders>
              <w:top w:val="nil"/>
              <w:left w:val="nil"/>
              <w:bottom w:val="nil"/>
              <w:right w:val="nil"/>
            </w:tcBorders>
            <w:noWrap/>
            <w:vAlign w:val="center"/>
          </w:tcPr>
          <w:p w:rsidR="00EB5B37" w:rsidRDefault="00EB5B37">
            <w:pPr>
              <w:rPr>
                <w:rFonts w:cs="Times New Roman"/>
                <w:b/>
                <w:bCs/>
                <w:sz w:val="16"/>
                <w:szCs w:val="16"/>
              </w:rPr>
            </w:pPr>
            <w:r>
              <w:rPr>
                <w:rFonts w:cs="Times New Roman"/>
                <w:b/>
                <w:bCs/>
                <w:sz w:val="16"/>
                <w:szCs w:val="16"/>
              </w:rPr>
              <w:t>5.6. Собівартість реалізованої продукції.</w:t>
            </w:r>
          </w:p>
        </w:tc>
        <w:tc>
          <w:tcPr>
            <w:tcW w:w="2409" w:type="dxa"/>
            <w:gridSpan w:val="2"/>
            <w:tcBorders>
              <w:top w:val="nil"/>
              <w:left w:val="nil"/>
              <w:bottom w:val="nil"/>
              <w:right w:val="nil"/>
            </w:tcBorders>
            <w:noWrap/>
            <w:vAlign w:val="bottom"/>
          </w:tcPr>
          <w:p w:rsidR="00EB5B37" w:rsidRDefault="00EB5B37">
            <w:pPr>
              <w:rPr>
                <w:rFonts w:cs="Times New Roman"/>
                <w:sz w:val="16"/>
                <w:szCs w:val="16"/>
              </w:rPr>
            </w:pPr>
          </w:p>
        </w:tc>
        <w:tc>
          <w:tcPr>
            <w:tcW w:w="1985" w:type="dxa"/>
            <w:tcBorders>
              <w:top w:val="nil"/>
              <w:left w:val="nil"/>
              <w:bottom w:val="nil"/>
              <w:right w:val="nil"/>
            </w:tcBorders>
            <w:noWrap/>
            <w:vAlign w:val="bottom"/>
          </w:tcPr>
          <w:p w:rsidR="00EB5B37" w:rsidRDefault="00EB5B37">
            <w:pPr>
              <w:rPr>
                <w:rFonts w:cs="Times New Roman"/>
                <w:sz w:val="16"/>
                <w:szCs w:val="16"/>
              </w:rPr>
            </w:pPr>
          </w:p>
        </w:tc>
      </w:tr>
      <w:tr w:rsidR="00EB5B37">
        <w:trPr>
          <w:trHeight w:val="315"/>
        </w:trPr>
        <w:tc>
          <w:tcPr>
            <w:tcW w:w="5544" w:type="dxa"/>
            <w:tcBorders>
              <w:top w:val="nil"/>
              <w:left w:val="nil"/>
              <w:bottom w:val="single" w:sz="8" w:space="0" w:color="auto"/>
              <w:right w:val="nil"/>
            </w:tcBorders>
            <w:noWrap/>
            <w:vAlign w:val="center"/>
          </w:tcPr>
          <w:p w:rsidR="00EB5B37" w:rsidRDefault="00EB5B37">
            <w:pPr>
              <w:rPr>
                <w:rFonts w:cs="Times New Roman"/>
                <w:b/>
                <w:bCs/>
                <w:sz w:val="16"/>
                <w:szCs w:val="16"/>
              </w:rPr>
            </w:pPr>
          </w:p>
        </w:tc>
        <w:tc>
          <w:tcPr>
            <w:tcW w:w="2409" w:type="dxa"/>
            <w:gridSpan w:val="2"/>
            <w:tcBorders>
              <w:top w:val="nil"/>
              <w:left w:val="nil"/>
              <w:bottom w:val="single" w:sz="8" w:space="0" w:color="auto"/>
              <w:right w:val="nil"/>
            </w:tcBorders>
            <w:noWrap/>
            <w:vAlign w:val="bottom"/>
          </w:tcPr>
          <w:p w:rsidR="00EB5B37" w:rsidRDefault="00EB5B37">
            <w:pPr>
              <w:rPr>
                <w:rFonts w:cs="Times New Roman"/>
                <w:sz w:val="16"/>
                <w:szCs w:val="16"/>
              </w:rPr>
            </w:pPr>
          </w:p>
        </w:tc>
        <w:tc>
          <w:tcPr>
            <w:tcW w:w="1985" w:type="dxa"/>
            <w:tcBorders>
              <w:top w:val="nil"/>
              <w:left w:val="nil"/>
              <w:bottom w:val="single" w:sz="8" w:space="0" w:color="auto"/>
              <w:right w:val="nil"/>
            </w:tcBorders>
            <w:noWrap/>
            <w:vAlign w:val="bottom"/>
          </w:tcPr>
          <w:p w:rsidR="00EB5B37" w:rsidRDefault="00EB5B37">
            <w:pPr>
              <w:rPr>
                <w:rFonts w:cs="Times New Roman"/>
                <w:sz w:val="16"/>
                <w:szCs w:val="16"/>
              </w:rPr>
            </w:pPr>
          </w:p>
        </w:tc>
      </w:tr>
      <w:tr w:rsidR="00EB5B37">
        <w:trPr>
          <w:trHeight w:val="570"/>
        </w:trPr>
        <w:tc>
          <w:tcPr>
            <w:tcW w:w="5544" w:type="dxa"/>
            <w:tcBorders>
              <w:top w:val="single" w:sz="8" w:space="0" w:color="auto"/>
              <w:left w:val="single" w:sz="8" w:space="0" w:color="auto"/>
              <w:bottom w:val="single" w:sz="4" w:space="0" w:color="auto"/>
              <w:right w:val="single" w:sz="4" w:space="0" w:color="auto"/>
            </w:tcBorders>
            <w:shd w:val="clear" w:color="auto" w:fill="CCFFCC"/>
            <w:vAlign w:val="center"/>
          </w:tcPr>
          <w:p w:rsidR="00EB5B37" w:rsidRDefault="00EB5B37">
            <w:pPr>
              <w:ind w:firstLine="49"/>
              <w:rPr>
                <w:rFonts w:cs="Times New Roman"/>
                <w:b/>
                <w:bCs/>
                <w:sz w:val="16"/>
                <w:szCs w:val="16"/>
              </w:rPr>
            </w:pPr>
            <w:r>
              <w:rPr>
                <w:rFonts w:cs="Times New Roman"/>
                <w:b/>
                <w:bCs/>
                <w:sz w:val="16"/>
                <w:szCs w:val="16"/>
              </w:rPr>
              <w:t>Собівартість реалізованої продукції (товарів, робіт, послуг)</w:t>
            </w:r>
          </w:p>
        </w:tc>
        <w:tc>
          <w:tcPr>
            <w:tcW w:w="2409" w:type="dxa"/>
            <w:gridSpan w:val="2"/>
            <w:tcBorders>
              <w:top w:val="single" w:sz="8" w:space="0" w:color="auto"/>
              <w:left w:val="nil"/>
              <w:bottom w:val="single" w:sz="4" w:space="0" w:color="auto"/>
              <w:right w:val="single" w:sz="4" w:space="0" w:color="auto"/>
            </w:tcBorders>
            <w:shd w:val="clear" w:color="auto" w:fill="CCFFCC"/>
            <w:noWrap/>
            <w:vAlign w:val="center"/>
          </w:tcPr>
          <w:p w:rsidR="00EB5B37" w:rsidRDefault="00EB5B37">
            <w:pPr>
              <w:ind w:firstLine="34"/>
              <w:jc w:val="center"/>
              <w:rPr>
                <w:rFonts w:cs="Times New Roman"/>
                <w:b/>
                <w:bCs/>
                <w:sz w:val="16"/>
                <w:szCs w:val="16"/>
              </w:rPr>
            </w:pPr>
            <w:r>
              <w:rPr>
                <w:rFonts w:cs="Times New Roman"/>
                <w:b/>
                <w:bCs/>
                <w:sz w:val="16"/>
                <w:szCs w:val="16"/>
              </w:rPr>
              <w:t>2 014р.</w:t>
            </w:r>
          </w:p>
        </w:tc>
        <w:tc>
          <w:tcPr>
            <w:tcW w:w="1985" w:type="dxa"/>
            <w:tcBorders>
              <w:top w:val="single" w:sz="8" w:space="0" w:color="auto"/>
              <w:left w:val="nil"/>
              <w:bottom w:val="single" w:sz="4" w:space="0" w:color="auto"/>
              <w:right w:val="single" w:sz="8" w:space="0" w:color="auto"/>
            </w:tcBorders>
            <w:shd w:val="clear" w:color="auto" w:fill="CCFFCC"/>
            <w:noWrap/>
            <w:vAlign w:val="center"/>
          </w:tcPr>
          <w:p w:rsidR="00EB5B37" w:rsidRDefault="00EB5B37">
            <w:pPr>
              <w:ind w:firstLine="33"/>
              <w:jc w:val="center"/>
              <w:rPr>
                <w:rFonts w:cs="Times New Roman"/>
                <w:b/>
                <w:bCs/>
                <w:sz w:val="16"/>
                <w:szCs w:val="16"/>
              </w:rPr>
            </w:pPr>
            <w:r>
              <w:rPr>
                <w:rFonts w:cs="Times New Roman"/>
                <w:b/>
                <w:bCs/>
                <w:sz w:val="16"/>
                <w:szCs w:val="16"/>
              </w:rPr>
              <w:t>2 015р.</w:t>
            </w:r>
          </w:p>
        </w:tc>
      </w:tr>
      <w:tr w:rsidR="00EB5B37">
        <w:trPr>
          <w:trHeight w:val="300"/>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Собівартість реалізованих продукції(товарів , робіт , послуг)</w:t>
            </w:r>
          </w:p>
        </w:tc>
        <w:tc>
          <w:tcPr>
            <w:tcW w:w="2409" w:type="dxa"/>
            <w:gridSpan w:val="2"/>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(5 405)</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rPr>
            </w:pPr>
            <w:r>
              <w:rPr>
                <w:rFonts w:cs="Times New Roman"/>
                <w:sz w:val="16"/>
                <w:szCs w:val="16"/>
              </w:rPr>
              <w:t>(7 89</w:t>
            </w:r>
            <w:r>
              <w:rPr>
                <w:rFonts w:cs="Times New Roman"/>
                <w:sz w:val="16"/>
                <w:szCs w:val="16"/>
                <w:lang w:val="ru-RU"/>
              </w:rPr>
              <w:t>8</w:t>
            </w:r>
            <w:r>
              <w:rPr>
                <w:rFonts w:cs="Times New Roman"/>
                <w:sz w:val="16"/>
                <w:szCs w:val="16"/>
              </w:rPr>
              <w:t>)</w:t>
            </w:r>
          </w:p>
        </w:tc>
      </w:tr>
      <w:tr w:rsidR="00EB5B37">
        <w:trPr>
          <w:trHeight w:val="300"/>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b/>
                <w:bCs/>
                <w:sz w:val="16"/>
                <w:szCs w:val="16"/>
              </w:rPr>
            </w:pPr>
            <w:r>
              <w:rPr>
                <w:rFonts w:cs="Times New Roman"/>
                <w:b/>
                <w:bCs/>
                <w:sz w:val="16"/>
                <w:szCs w:val="16"/>
              </w:rPr>
              <w:t>ВСЬОГО</w:t>
            </w:r>
          </w:p>
        </w:tc>
        <w:tc>
          <w:tcPr>
            <w:tcW w:w="2409" w:type="dxa"/>
            <w:gridSpan w:val="2"/>
            <w:tcBorders>
              <w:top w:val="nil"/>
              <w:left w:val="nil"/>
              <w:bottom w:val="single" w:sz="4" w:space="0" w:color="auto"/>
              <w:right w:val="single" w:sz="4" w:space="0" w:color="auto"/>
            </w:tcBorders>
            <w:noWrap/>
            <w:vAlign w:val="center"/>
          </w:tcPr>
          <w:p w:rsidR="00EB5B37" w:rsidRDefault="00EB5B37">
            <w:pPr>
              <w:ind w:firstLine="34"/>
              <w:jc w:val="center"/>
              <w:rPr>
                <w:rFonts w:cs="Times New Roman"/>
                <w:b/>
                <w:bCs/>
                <w:sz w:val="16"/>
                <w:szCs w:val="16"/>
              </w:rPr>
            </w:pPr>
            <w:r>
              <w:rPr>
                <w:rFonts w:cs="Times New Roman"/>
                <w:b/>
                <w:bCs/>
                <w:sz w:val="16"/>
                <w:szCs w:val="16"/>
              </w:rPr>
              <w:t>(5 405)</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b/>
                <w:bCs/>
                <w:sz w:val="16"/>
                <w:szCs w:val="16"/>
              </w:rPr>
            </w:pPr>
            <w:r>
              <w:rPr>
                <w:rFonts w:cs="Times New Roman"/>
                <w:b/>
                <w:bCs/>
                <w:sz w:val="16"/>
                <w:szCs w:val="16"/>
              </w:rPr>
              <w:t>(7 89</w:t>
            </w:r>
            <w:r>
              <w:rPr>
                <w:rFonts w:cs="Times New Roman"/>
                <w:b/>
                <w:bCs/>
                <w:sz w:val="16"/>
                <w:szCs w:val="16"/>
                <w:lang w:val="ru-RU"/>
              </w:rPr>
              <w:t>8</w:t>
            </w:r>
            <w:r>
              <w:rPr>
                <w:rFonts w:cs="Times New Roman"/>
                <w:b/>
                <w:bCs/>
                <w:sz w:val="16"/>
                <w:szCs w:val="16"/>
              </w:rPr>
              <w:t>)</w:t>
            </w:r>
          </w:p>
        </w:tc>
      </w:tr>
      <w:tr w:rsidR="00EB5B37">
        <w:trPr>
          <w:trHeight w:val="300"/>
        </w:trPr>
        <w:tc>
          <w:tcPr>
            <w:tcW w:w="7953" w:type="dxa"/>
            <w:gridSpan w:val="3"/>
            <w:tcBorders>
              <w:top w:val="single" w:sz="4" w:space="0" w:color="auto"/>
              <w:left w:val="single" w:sz="8" w:space="0" w:color="auto"/>
              <w:bottom w:val="single" w:sz="4" w:space="0" w:color="auto"/>
              <w:right w:val="single" w:sz="4" w:space="0" w:color="000000"/>
            </w:tcBorders>
            <w:noWrap/>
            <w:vAlign w:val="center"/>
          </w:tcPr>
          <w:p w:rsidR="00EB5B37" w:rsidRDefault="00EB5B37">
            <w:pPr>
              <w:rPr>
                <w:rFonts w:cs="Times New Roman"/>
                <w:b/>
                <w:bCs/>
                <w:sz w:val="16"/>
                <w:szCs w:val="16"/>
              </w:rPr>
            </w:pPr>
            <w:r>
              <w:rPr>
                <w:rFonts w:cs="Times New Roman"/>
                <w:b/>
                <w:bCs/>
                <w:sz w:val="16"/>
                <w:szCs w:val="16"/>
              </w:rPr>
              <w:t>а). Собівартість реалізованих продукції (товарів , робіт,послуг)</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rPr>
            </w:pPr>
          </w:p>
        </w:tc>
      </w:tr>
      <w:tr w:rsidR="00EB5B37">
        <w:trPr>
          <w:trHeight w:val="300"/>
        </w:trPr>
        <w:tc>
          <w:tcPr>
            <w:tcW w:w="5544" w:type="dxa"/>
            <w:tcBorders>
              <w:top w:val="nil"/>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Сировина</w:t>
            </w:r>
          </w:p>
        </w:tc>
        <w:tc>
          <w:tcPr>
            <w:tcW w:w="2409" w:type="dxa"/>
            <w:gridSpan w:val="2"/>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highlight w:val="yellow"/>
              </w:rPr>
            </w:pPr>
            <w:r>
              <w:rPr>
                <w:rFonts w:cs="Times New Roman"/>
                <w:sz w:val="16"/>
                <w:szCs w:val="16"/>
              </w:rPr>
              <w:t>( 4 531 )</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lang w:val="ru-RU"/>
              </w:rPr>
            </w:pPr>
            <w:r>
              <w:rPr>
                <w:rFonts w:cs="Times New Roman"/>
                <w:sz w:val="16"/>
                <w:szCs w:val="16"/>
                <w:lang w:val="ru-RU"/>
              </w:rPr>
              <w:t>(7063)</w:t>
            </w:r>
          </w:p>
        </w:tc>
      </w:tr>
      <w:tr w:rsidR="00EB5B37">
        <w:trPr>
          <w:trHeight w:val="300"/>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Заробітна плата та пов'язані з нею витрати</w:t>
            </w:r>
          </w:p>
        </w:tc>
        <w:tc>
          <w:tcPr>
            <w:tcW w:w="2409" w:type="dxa"/>
            <w:gridSpan w:val="2"/>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highlight w:val="yellow"/>
              </w:rPr>
            </w:pPr>
            <w:r>
              <w:rPr>
                <w:rFonts w:cs="Times New Roman"/>
                <w:sz w:val="16"/>
                <w:szCs w:val="16"/>
              </w:rPr>
              <w:t>( 203 )</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lang w:val="ru-RU"/>
              </w:rPr>
            </w:pPr>
            <w:r>
              <w:rPr>
                <w:rFonts w:cs="Times New Roman"/>
                <w:sz w:val="16"/>
                <w:szCs w:val="16"/>
                <w:lang w:val="ru-RU"/>
              </w:rPr>
              <w:t>(301)</w:t>
            </w:r>
          </w:p>
        </w:tc>
      </w:tr>
      <w:tr w:rsidR="00EB5B37">
        <w:trPr>
          <w:trHeight w:val="300"/>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Знос та амортизація</w:t>
            </w:r>
          </w:p>
        </w:tc>
        <w:tc>
          <w:tcPr>
            <w:tcW w:w="2409" w:type="dxa"/>
            <w:gridSpan w:val="2"/>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highlight w:val="yellow"/>
              </w:rPr>
            </w:pPr>
            <w:r>
              <w:rPr>
                <w:rFonts w:cs="Times New Roman"/>
                <w:sz w:val="16"/>
                <w:szCs w:val="16"/>
              </w:rPr>
              <w:t>( 222 )</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lang w:val="ru-RU"/>
              </w:rPr>
            </w:pPr>
            <w:r>
              <w:rPr>
                <w:rFonts w:cs="Times New Roman"/>
                <w:sz w:val="16"/>
                <w:szCs w:val="16"/>
                <w:lang w:val="ru-RU"/>
              </w:rPr>
              <w:t>(124)</w:t>
            </w:r>
          </w:p>
        </w:tc>
      </w:tr>
      <w:tr w:rsidR="00EB5B37">
        <w:trPr>
          <w:trHeight w:val="300"/>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Послуги сторонніх організацій</w:t>
            </w:r>
          </w:p>
        </w:tc>
        <w:tc>
          <w:tcPr>
            <w:tcW w:w="2409" w:type="dxa"/>
            <w:gridSpan w:val="2"/>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highlight w:val="yellow"/>
              </w:rPr>
            </w:pPr>
            <w:r>
              <w:rPr>
                <w:rFonts w:cs="Times New Roman"/>
                <w:sz w:val="16"/>
                <w:szCs w:val="16"/>
              </w:rPr>
              <w:t>( 437 )</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lang w:val="ru-RU"/>
              </w:rPr>
            </w:pPr>
            <w:r>
              <w:rPr>
                <w:rFonts w:cs="Times New Roman"/>
                <w:sz w:val="16"/>
                <w:szCs w:val="16"/>
                <w:lang w:val="ru-RU"/>
              </w:rPr>
              <w:t>(410)</w:t>
            </w:r>
          </w:p>
        </w:tc>
      </w:tr>
      <w:tr w:rsidR="00EB5B37">
        <w:trPr>
          <w:trHeight w:val="300"/>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Ремонт та технічне обслуговування</w:t>
            </w:r>
          </w:p>
        </w:tc>
        <w:tc>
          <w:tcPr>
            <w:tcW w:w="2409" w:type="dxa"/>
            <w:gridSpan w:val="2"/>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highlight w:val="yellow"/>
              </w:rPr>
            </w:pPr>
            <w:r>
              <w:rPr>
                <w:rFonts w:cs="Times New Roman"/>
                <w:sz w:val="16"/>
                <w:szCs w:val="16"/>
              </w:rPr>
              <w:t>-</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lang w:val="ru-RU"/>
              </w:rPr>
            </w:pPr>
            <w:r>
              <w:rPr>
                <w:rFonts w:cs="Times New Roman"/>
                <w:sz w:val="16"/>
                <w:szCs w:val="16"/>
                <w:lang w:val="ru-RU"/>
              </w:rPr>
              <w:t>-</w:t>
            </w:r>
          </w:p>
        </w:tc>
      </w:tr>
      <w:tr w:rsidR="00EB5B37">
        <w:trPr>
          <w:trHeight w:val="300"/>
        </w:trPr>
        <w:tc>
          <w:tcPr>
            <w:tcW w:w="5544" w:type="dxa"/>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Інші витрати</w:t>
            </w:r>
          </w:p>
        </w:tc>
        <w:tc>
          <w:tcPr>
            <w:tcW w:w="2409" w:type="dxa"/>
            <w:gridSpan w:val="2"/>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highlight w:val="yellow"/>
              </w:rPr>
            </w:pPr>
            <w:r>
              <w:rPr>
                <w:rFonts w:cs="Times New Roman"/>
                <w:sz w:val="16"/>
                <w:szCs w:val="16"/>
              </w:rPr>
              <w:t>(12)</w:t>
            </w:r>
          </w:p>
        </w:tc>
        <w:tc>
          <w:tcPr>
            <w:tcW w:w="1985" w:type="dxa"/>
            <w:tcBorders>
              <w:top w:val="nil"/>
              <w:left w:val="nil"/>
              <w:bottom w:val="single" w:sz="4" w:space="0" w:color="auto"/>
              <w:right w:val="single" w:sz="8" w:space="0" w:color="auto"/>
            </w:tcBorders>
            <w:noWrap/>
            <w:vAlign w:val="bottom"/>
          </w:tcPr>
          <w:p w:rsidR="00EB5B37" w:rsidRDefault="00EB5B37">
            <w:pPr>
              <w:jc w:val="center"/>
              <w:rPr>
                <w:rFonts w:cs="Times New Roman"/>
                <w:sz w:val="16"/>
                <w:szCs w:val="16"/>
              </w:rPr>
            </w:pPr>
          </w:p>
        </w:tc>
      </w:tr>
      <w:tr w:rsidR="00EB5B37">
        <w:trPr>
          <w:trHeight w:val="315"/>
        </w:trPr>
        <w:tc>
          <w:tcPr>
            <w:tcW w:w="5544" w:type="dxa"/>
            <w:tcBorders>
              <w:top w:val="single" w:sz="4" w:space="0" w:color="auto"/>
              <w:left w:val="single" w:sz="8" w:space="0" w:color="auto"/>
              <w:bottom w:val="single" w:sz="8" w:space="0" w:color="auto"/>
              <w:right w:val="single" w:sz="4" w:space="0" w:color="auto"/>
            </w:tcBorders>
            <w:shd w:val="clear" w:color="auto" w:fill="CCFFCC"/>
            <w:noWrap/>
            <w:vAlign w:val="center"/>
          </w:tcPr>
          <w:p w:rsidR="00EB5B37" w:rsidRDefault="00EB5B37">
            <w:pPr>
              <w:rPr>
                <w:rFonts w:cs="Times New Roman"/>
                <w:b/>
                <w:bCs/>
                <w:sz w:val="16"/>
                <w:szCs w:val="16"/>
              </w:rPr>
            </w:pPr>
            <w:r>
              <w:rPr>
                <w:rFonts w:cs="Times New Roman"/>
                <w:b/>
                <w:bCs/>
                <w:sz w:val="16"/>
                <w:szCs w:val="16"/>
              </w:rPr>
              <w:t>ВСЬОГО</w:t>
            </w:r>
          </w:p>
        </w:tc>
        <w:tc>
          <w:tcPr>
            <w:tcW w:w="2409" w:type="dxa"/>
            <w:gridSpan w:val="2"/>
            <w:tcBorders>
              <w:top w:val="nil"/>
              <w:left w:val="nil"/>
              <w:bottom w:val="single" w:sz="8" w:space="0" w:color="auto"/>
              <w:right w:val="single" w:sz="4" w:space="0" w:color="auto"/>
            </w:tcBorders>
            <w:noWrap/>
            <w:vAlign w:val="bottom"/>
          </w:tcPr>
          <w:p w:rsidR="00EB5B37" w:rsidRDefault="00EB5B37">
            <w:pPr>
              <w:ind w:firstLine="34"/>
              <w:jc w:val="center"/>
              <w:rPr>
                <w:rFonts w:cs="Times New Roman"/>
                <w:b/>
                <w:bCs/>
                <w:sz w:val="16"/>
                <w:szCs w:val="16"/>
                <w:highlight w:val="yellow"/>
              </w:rPr>
            </w:pPr>
            <w:r>
              <w:rPr>
                <w:rFonts w:cs="Times New Roman"/>
                <w:b/>
                <w:bCs/>
                <w:sz w:val="16"/>
                <w:szCs w:val="16"/>
              </w:rPr>
              <w:t>(5 405)</w:t>
            </w:r>
          </w:p>
        </w:tc>
        <w:tc>
          <w:tcPr>
            <w:tcW w:w="1985" w:type="dxa"/>
            <w:tcBorders>
              <w:top w:val="nil"/>
              <w:left w:val="nil"/>
              <w:bottom w:val="single" w:sz="8" w:space="0" w:color="auto"/>
              <w:right w:val="single" w:sz="8" w:space="0" w:color="auto"/>
            </w:tcBorders>
            <w:noWrap/>
            <w:vAlign w:val="bottom"/>
          </w:tcPr>
          <w:p w:rsidR="00EB5B37" w:rsidRDefault="00EB5B37">
            <w:pPr>
              <w:jc w:val="center"/>
              <w:rPr>
                <w:rFonts w:cs="Times New Roman"/>
                <w:b/>
                <w:bCs/>
                <w:sz w:val="16"/>
                <w:szCs w:val="16"/>
                <w:lang w:val="ru-RU"/>
              </w:rPr>
            </w:pPr>
            <w:r>
              <w:rPr>
                <w:rFonts w:cs="Times New Roman"/>
                <w:b/>
                <w:bCs/>
                <w:sz w:val="16"/>
                <w:szCs w:val="16"/>
                <w:lang w:val="ru-RU"/>
              </w:rPr>
              <w:t>(7898</w:t>
            </w:r>
            <w:bookmarkStart w:id="0" w:name="_GoBack"/>
            <w:bookmarkEnd w:id="0"/>
            <w:r>
              <w:rPr>
                <w:rFonts w:cs="Times New Roman"/>
                <w:b/>
                <w:bCs/>
                <w:sz w:val="16"/>
                <w:szCs w:val="16"/>
                <w:lang w:val="ru-RU"/>
              </w:rPr>
              <w:t>)</w:t>
            </w:r>
          </w:p>
        </w:tc>
      </w:tr>
    </w:tbl>
    <w:p w:rsidR="00EB5B37" w:rsidRDefault="00EB5B37">
      <w:pPr>
        <w:rPr>
          <w:rFonts w:cs="Times New Roman"/>
          <w:b/>
          <w:bCs/>
          <w:sz w:val="16"/>
          <w:szCs w:val="16"/>
          <w:lang w:val="ru-RU"/>
        </w:rPr>
      </w:pPr>
    </w:p>
    <w:p w:rsidR="00EB5B37" w:rsidRDefault="00EB5B37">
      <w:pPr>
        <w:rPr>
          <w:rFonts w:cs="Times New Roman"/>
          <w:b/>
          <w:bCs/>
          <w:sz w:val="16"/>
          <w:szCs w:val="16"/>
          <w:lang w:val="ru-RU"/>
        </w:rPr>
      </w:pPr>
    </w:p>
    <w:tbl>
      <w:tblPr>
        <w:tblW w:w="9938" w:type="dxa"/>
        <w:tblInd w:w="2" w:type="dxa"/>
        <w:tblLook w:val="0000"/>
      </w:tblPr>
      <w:tblGrid>
        <w:gridCol w:w="2267"/>
        <w:gridCol w:w="2267"/>
        <w:gridCol w:w="1151"/>
        <w:gridCol w:w="2127"/>
        <w:gridCol w:w="2126"/>
      </w:tblGrid>
      <w:tr w:rsidR="00EB5B37">
        <w:trPr>
          <w:trHeight w:val="300"/>
        </w:trPr>
        <w:tc>
          <w:tcPr>
            <w:tcW w:w="5685" w:type="dxa"/>
            <w:gridSpan w:val="3"/>
            <w:tcBorders>
              <w:top w:val="nil"/>
              <w:left w:val="nil"/>
              <w:bottom w:val="single" w:sz="8" w:space="0" w:color="auto"/>
              <w:right w:val="nil"/>
            </w:tcBorders>
            <w:noWrap/>
            <w:vAlign w:val="center"/>
          </w:tcPr>
          <w:p w:rsidR="00EB5B37" w:rsidRDefault="00EB5B37">
            <w:pPr>
              <w:rPr>
                <w:rFonts w:cs="Times New Roman"/>
                <w:b/>
                <w:bCs/>
                <w:sz w:val="16"/>
                <w:szCs w:val="16"/>
              </w:rPr>
            </w:pPr>
            <w:r>
              <w:rPr>
                <w:rFonts w:cs="Times New Roman"/>
                <w:b/>
                <w:bCs/>
                <w:sz w:val="16"/>
                <w:szCs w:val="16"/>
              </w:rPr>
              <w:t>5.7. Загальні адміністративні витрати</w:t>
            </w:r>
          </w:p>
          <w:p w:rsidR="00EB5B37" w:rsidRDefault="00EB5B37">
            <w:pPr>
              <w:rPr>
                <w:rFonts w:cs="Times New Roman"/>
                <w:b/>
                <w:bCs/>
                <w:sz w:val="16"/>
                <w:szCs w:val="16"/>
              </w:rPr>
            </w:pPr>
          </w:p>
        </w:tc>
        <w:tc>
          <w:tcPr>
            <w:tcW w:w="2127" w:type="dxa"/>
            <w:tcBorders>
              <w:top w:val="nil"/>
              <w:left w:val="nil"/>
              <w:bottom w:val="single" w:sz="8" w:space="0" w:color="auto"/>
              <w:right w:val="nil"/>
            </w:tcBorders>
            <w:noWrap/>
            <w:vAlign w:val="bottom"/>
          </w:tcPr>
          <w:p w:rsidR="00EB5B37" w:rsidRDefault="00EB5B37">
            <w:pPr>
              <w:rPr>
                <w:rFonts w:cs="Times New Roman"/>
                <w:sz w:val="16"/>
                <w:szCs w:val="16"/>
              </w:rPr>
            </w:pPr>
          </w:p>
        </w:tc>
        <w:tc>
          <w:tcPr>
            <w:tcW w:w="2126" w:type="dxa"/>
            <w:tcBorders>
              <w:top w:val="nil"/>
              <w:left w:val="nil"/>
              <w:bottom w:val="single" w:sz="8" w:space="0" w:color="auto"/>
              <w:right w:val="nil"/>
            </w:tcBorders>
            <w:noWrap/>
            <w:vAlign w:val="bottom"/>
          </w:tcPr>
          <w:p w:rsidR="00EB5B37" w:rsidRDefault="00EB5B37">
            <w:pPr>
              <w:rPr>
                <w:rFonts w:cs="Times New Roman"/>
                <w:sz w:val="16"/>
                <w:szCs w:val="16"/>
              </w:rPr>
            </w:pPr>
          </w:p>
        </w:tc>
      </w:tr>
      <w:tr w:rsidR="00EB5B37">
        <w:trPr>
          <w:trHeight w:val="300"/>
        </w:trPr>
        <w:tc>
          <w:tcPr>
            <w:tcW w:w="5685" w:type="dxa"/>
            <w:gridSpan w:val="3"/>
            <w:tcBorders>
              <w:top w:val="single" w:sz="8" w:space="0" w:color="auto"/>
              <w:left w:val="single" w:sz="8" w:space="0" w:color="auto"/>
              <w:bottom w:val="single" w:sz="4" w:space="0" w:color="auto"/>
              <w:right w:val="nil"/>
            </w:tcBorders>
            <w:shd w:val="clear" w:color="auto" w:fill="CCFFCC"/>
            <w:noWrap/>
          </w:tcPr>
          <w:p w:rsidR="00EB5B37" w:rsidRDefault="00EB5B37">
            <w:pPr>
              <w:rPr>
                <w:rFonts w:cs="Times New Roman"/>
                <w:b/>
                <w:bCs/>
                <w:sz w:val="16"/>
                <w:szCs w:val="16"/>
              </w:rPr>
            </w:pPr>
            <w:r>
              <w:rPr>
                <w:rFonts w:cs="Times New Roman"/>
                <w:b/>
                <w:bCs/>
                <w:sz w:val="16"/>
                <w:szCs w:val="16"/>
              </w:rPr>
              <w:t>Адміністративні витрати</w:t>
            </w:r>
          </w:p>
        </w:tc>
        <w:tc>
          <w:tcPr>
            <w:tcW w:w="2127" w:type="dxa"/>
            <w:tcBorders>
              <w:top w:val="single" w:sz="8" w:space="0" w:color="auto"/>
              <w:left w:val="single" w:sz="4" w:space="0" w:color="auto"/>
              <w:bottom w:val="single" w:sz="4" w:space="0" w:color="auto"/>
              <w:right w:val="single" w:sz="4" w:space="0" w:color="auto"/>
            </w:tcBorders>
            <w:shd w:val="clear" w:color="auto" w:fill="CCFFCC"/>
            <w:noWrap/>
            <w:vAlign w:val="bottom"/>
          </w:tcPr>
          <w:p w:rsidR="00EB5B37" w:rsidRDefault="00EB5B37">
            <w:pPr>
              <w:rPr>
                <w:rFonts w:cs="Times New Roman"/>
                <w:b/>
                <w:bCs/>
                <w:sz w:val="16"/>
                <w:szCs w:val="16"/>
              </w:rPr>
            </w:pPr>
            <w:r>
              <w:rPr>
                <w:rFonts w:cs="Times New Roman"/>
                <w:b/>
                <w:bCs/>
                <w:sz w:val="16"/>
                <w:szCs w:val="16"/>
              </w:rPr>
              <w:t>2 014р.</w:t>
            </w:r>
          </w:p>
        </w:tc>
        <w:tc>
          <w:tcPr>
            <w:tcW w:w="2126" w:type="dxa"/>
            <w:tcBorders>
              <w:top w:val="single" w:sz="8" w:space="0" w:color="auto"/>
              <w:left w:val="nil"/>
              <w:bottom w:val="single" w:sz="4" w:space="0" w:color="auto"/>
              <w:right w:val="single" w:sz="8" w:space="0" w:color="auto"/>
            </w:tcBorders>
            <w:shd w:val="clear" w:color="auto" w:fill="CCFFCC"/>
            <w:noWrap/>
            <w:vAlign w:val="bottom"/>
          </w:tcPr>
          <w:p w:rsidR="00EB5B37" w:rsidRDefault="00EB5B37">
            <w:pPr>
              <w:rPr>
                <w:rFonts w:cs="Times New Roman"/>
                <w:b/>
                <w:bCs/>
                <w:sz w:val="16"/>
                <w:szCs w:val="16"/>
              </w:rPr>
            </w:pPr>
            <w:r>
              <w:rPr>
                <w:rFonts w:cs="Times New Roman"/>
                <w:b/>
                <w:bCs/>
                <w:sz w:val="16"/>
                <w:szCs w:val="16"/>
              </w:rPr>
              <w:t>2 015р.</w:t>
            </w: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Заробітна плата та пов'язані з нею витрати</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(287)</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r>
              <w:rPr>
                <w:rFonts w:cs="Times New Roman"/>
                <w:sz w:val="16"/>
                <w:szCs w:val="16"/>
              </w:rPr>
              <w:t>(309)</w:t>
            </w:r>
          </w:p>
        </w:tc>
      </w:tr>
      <w:tr w:rsidR="00EB5B37">
        <w:trPr>
          <w:trHeight w:val="300"/>
        </w:trPr>
        <w:tc>
          <w:tcPr>
            <w:tcW w:w="5685" w:type="dxa"/>
            <w:gridSpan w:val="3"/>
            <w:tcBorders>
              <w:top w:val="single" w:sz="4" w:space="0" w:color="auto"/>
              <w:left w:val="single" w:sz="8" w:space="0" w:color="auto"/>
              <w:bottom w:val="single" w:sz="4" w:space="0" w:color="auto"/>
              <w:right w:val="nil"/>
            </w:tcBorders>
            <w:shd w:val="clear" w:color="auto" w:fill="CCFFCC"/>
            <w:noWrap/>
            <w:vAlign w:val="center"/>
          </w:tcPr>
          <w:p w:rsidR="00EB5B37" w:rsidRDefault="00EB5B37">
            <w:pPr>
              <w:rPr>
                <w:rFonts w:cs="Times New Roman"/>
                <w:sz w:val="16"/>
                <w:szCs w:val="16"/>
              </w:rPr>
            </w:pPr>
            <w:r>
              <w:rPr>
                <w:rFonts w:cs="Times New Roman"/>
                <w:sz w:val="16"/>
                <w:szCs w:val="16"/>
              </w:rPr>
              <w:t>Знос та амортизація</w:t>
            </w:r>
          </w:p>
        </w:tc>
        <w:tc>
          <w:tcPr>
            <w:tcW w:w="2127" w:type="dxa"/>
            <w:tcBorders>
              <w:top w:val="nil"/>
              <w:left w:val="single" w:sz="4" w:space="0" w:color="auto"/>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(2)</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r>
              <w:rPr>
                <w:rFonts w:cs="Times New Roman"/>
                <w:sz w:val="16"/>
                <w:szCs w:val="16"/>
              </w:rPr>
              <w:t>(3)</w:t>
            </w: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Послуги сторонніх організацій</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(59)</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r>
              <w:rPr>
                <w:rFonts w:cs="Times New Roman"/>
                <w:sz w:val="16"/>
                <w:szCs w:val="16"/>
              </w:rPr>
              <w:t>(196)</w:t>
            </w: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Незалежна винагорода за аудит річної бухгалтерської звітності</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Незалежна винагорода за не аудиторські послуги</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p>
        </w:tc>
      </w:tr>
      <w:tr w:rsidR="00EB5B37">
        <w:trPr>
          <w:trHeight w:val="300"/>
        </w:trPr>
        <w:tc>
          <w:tcPr>
            <w:tcW w:w="5685" w:type="dxa"/>
            <w:gridSpan w:val="3"/>
            <w:tcBorders>
              <w:top w:val="single" w:sz="4" w:space="0" w:color="auto"/>
              <w:left w:val="single" w:sz="8" w:space="0" w:color="auto"/>
              <w:bottom w:val="single" w:sz="4" w:space="0" w:color="auto"/>
              <w:right w:val="nil"/>
            </w:tcBorders>
            <w:shd w:val="clear" w:color="auto" w:fill="CCFFCC"/>
            <w:noWrap/>
            <w:vAlign w:val="center"/>
          </w:tcPr>
          <w:p w:rsidR="00EB5B37" w:rsidRDefault="00EB5B37">
            <w:pPr>
              <w:rPr>
                <w:rFonts w:cs="Times New Roman"/>
                <w:sz w:val="16"/>
                <w:szCs w:val="16"/>
              </w:rPr>
            </w:pPr>
            <w:r>
              <w:rPr>
                <w:rFonts w:cs="Times New Roman"/>
                <w:sz w:val="16"/>
                <w:szCs w:val="16"/>
              </w:rPr>
              <w:t>Податки і збори</w:t>
            </w:r>
          </w:p>
        </w:tc>
        <w:tc>
          <w:tcPr>
            <w:tcW w:w="2127" w:type="dxa"/>
            <w:tcBorders>
              <w:top w:val="nil"/>
              <w:left w:val="single" w:sz="4" w:space="0" w:color="auto"/>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( 154 )</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r>
              <w:rPr>
                <w:rFonts w:cs="Times New Roman"/>
                <w:sz w:val="16"/>
                <w:szCs w:val="16"/>
              </w:rPr>
              <w:t>(195)</w:t>
            </w: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Офісні та інші матеріали</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Витрати на утримання автомобілів</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Витрати на технічне обслуговування і ремонт</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Витрати на страхування</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p>
        </w:tc>
      </w:tr>
      <w:tr w:rsidR="00EB5B37">
        <w:trPr>
          <w:trHeight w:val="300"/>
        </w:trPr>
        <w:tc>
          <w:tcPr>
            <w:tcW w:w="5685" w:type="dxa"/>
            <w:gridSpan w:val="3"/>
            <w:tcBorders>
              <w:top w:val="single" w:sz="4" w:space="0" w:color="auto"/>
              <w:left w:val="single" w:sz="8" w:space="0" w:color="auto"/>
              <w:bottom w:val="single" w:sz="4" w:space="0" w:color="auto"/>
              <w:right w:val="single" w:sz="4" w:space="0" w:color="auto"/>
            </w:tcBorders>
            <w:shd w:val="clear" w:color="auto" w:fill="CCFFCC"/>
            <w:noWrap/>
            <w:vAlign w:val="center"/>
          </w:tcPr>
          <w:p w:rsidR="00EB5B37" w:rsidRDefault="00EB5B37">
            <w:pPr>
              <w:rPr>
                <w:rFonts w:cs="Times New Roman"/>
                <w:sz w:val="16"/>
                <w:szCs w:val="16"/>
              </w:rPr>
            </w:pPr>
            <w:r>
              <w:rPr>
                <w:rFonts w:cs="Times New Roman"/>
                <w:sz w:val="16"/>
                <w:szCs w:val="16"/>
              </w:rPr>
              <w:t>Інші адміністративні витрати</w:t>
            </w:r>
          </w:p>
        </w:tc>
        <w:tc>
          <w:tcPr>
            <w:tcW w:w="2127"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(13)</w:t>
            </w:r>
          </w:p>
        </w:tc>
        <w:tc>
          <w:tcPr>
            <w:tcW w:w="2126" w:type="dxa"/>
            <w:tcBorders>
              <w:top w:val="nil"/>
              <w:left w:val="nil"/>
              <w:bottom w:val="single" w:sz="4" w:space="0" w:color="auto"/>
              <w:right w:val="single" w:sz="8" w:space="0" w:color="auto"/>
            </w:tcBorders>
            <w:noWrap/>
            <w:vAlign w:val="bottom"/>
          </w:tcPr>
          <w:p w:rsidR="00EB5B37" w:rsidRDefault="00EB5B37">
            <w:pPr>
              <w:ind w:firstLine="0"/>
              <w:jc w:val="center"/>
              <w:rPr>
                <w:rFonts w:cs="Times New Roman"/>
                <w:sz w:val="16"/>
                <w:szCs w:val="16"/>
              </w:rPr>
            </w:pPr>
            <w:r>
              <w:rPr>
                <w:rFonts w:cs="Times New Roman"/>
                <w:sz w:val="16"/>
                <w:szCs w:val="16"/>
              </w:rPr>
              <w:t>(23)</w:t>
            </w:r>
          </w:p>
        </w:tc>
      </w:tr>
      <w:tr w:rsidR="00EB5B37">
        <w:trPr>
          <w:trHeight w:val="315"/>
        </w:trPr>
        <w:tc>
          <w:tcPr>
            <w:tcW w:w="5685" w:type="dxa"/>
            <w:gridSpan w:val="3"/>
            <w:tcBorders>
              <w:top w:val="single" w:sz="4" w:space="0" w:color="auto"/>
              <w:left w:val="single" w:sz="8" w:space="0" w:color="auto"/>
              <w:bottom w:val="single" w:sz="8" w:space="0" w:color="auto"/>
              <w:right w:val="nil"/>
            </w:tcBorders>
            <w:shd w:val="clear" w:color="auto" w:fill="CCFFCC"/>
            <w:noWrap/>
            <w:vAlign w:val="center"/>
          </w:tcPr>
          <w:p w:rsidR="00EB5B37" w:rsidRDefault="00EB5B37">
            <w:pPr>
              <w:rPr>
                <w:rFonts w:cs="Times New Roman"/>
                <w:b/>
                <w:bCs/>
                <w:sz w:val="16"/>
                <w:szCs w:val="16"/>
              </w:rPr>
            </w:pPr>
            <w:r>
              <w:rPr>
                <w:rFonts w:cs="Times New Roman"/>
                <w:b/>
                <w:bCs/>
                <w:sz w:val="16"/>
                <w:szCs w:val="16"/>
              </w:rPr>
              <w:t>ВСЬОГО</w:t>
            </w:r>
          </w:p>
        </w:tc>
        <w:tc>
          <w:tcPr>
            <w:tcW w:w="2127" w:type="dxa"/>
            <w:tcBorders>
              <w:top w:val="nil"/>
              <w:left w:val="single" w:sz="4" w:space="0" w:color="auto"/>
              <w:bottom w:val="single" w:sz="8" w:space="0" w:color="auto"/>
              <w:right w:val="single" w:sz="4" w:space="0" w:color="auto"/>
            </w:tcBorders>
            <w:noWrap/>
            <w:vAlign w:val="center"/>
          </w:tcPr>
          <w:p w:rsidR="00EB5B37" w:rsidRDefault="00EB5B37">
            <w:pPr>
              <w:ind w:firstLine="34"/>
              <w:jc w:val="center"/>
              <w:rPr>
                <w:rFonts w:cs="Times New Roman"/>
                <w:b/>
                <w:bCs/>
                <w:sz w:val="16"/>
                <w:szCs w:val="16"/>
              </w:rPr>
            </w:pPr>
            <w:r>
              <w:rPr>
                <w:rFonts w:cs="Times New Roman"/>
                <w:b/>
                <w:bCs/>
                <w:sz w:val="16"/>
                <w:szCs w:val="16"/>
              </w:rPr>
              <w:t>(515)</w:t>
            </w:r>
          </w:p>
        </w:tc>
        <w:tc>
          <w:tcPr>
            <w:tcW w:w="2126" w:type="dxa"/>
            <w:tcBorders>
              <w:top w:val="nil"/>
              <w:left w:val="nil"/>
              <w:bottom w:val="single" w:sz="8" w:space="0" w:color="auto"/>
              <w:right w:val="single" w:sz="8" w:space="0" w:color="auto"/>
            </w:tcBorders>
            <w:noWrap/>
            <w:vAlign w:val="center"/>
          </w:tcPr>
          <w:p w:rsidR="00EB5B37" w:rsidRDefault="00EB5B37">
            <w:pPr>
              <w:ind w:firstLine="0"/>
              <w:jc w:val="center"/>
              <w:rPr>
                <w:rFonts w:cs="Times New Roman"/>
                <w:b/>
                <w:bCs/>
                <w:sz w:val="16"/>
                <w:szCs w:val="16"/>
              </w:rPr>
            </w:pPr>
            <w:r>
              <w:rPr>
                <w:rFonts w:cs="Times New Roman"/>
                <w:b/>
                <w:bCs/>
                <w:sz w:val="16"/>
                <w:szCs w:val="16"/>
              </w:rPr>
              <w:t>(726)</w:t>
            </w:r>
          </w:p>
        </w:tc>
      </w:tr>
      <w:tr w:rsidR="00EB5B37">
        <w:trPr>
          <w:trHeight w:val="300"/>
        </w:trPr>
        <w:tc>
          <w:tcPr>
            <w:tcW w:w="2267" w:type="dxa"/>
            <w:tcBorders>
              <w:top w:val="nil"/>
              <w:left w:val="nil"/>
              <w:bottom w:val="single" w:sz="4" w:space="0" w:color="auto"/>
              <w:right w:val="nil"/>
            </w:tcBorders>
            <w:noWrap/>
            <w:vAlign w:val="center"/>
          </w:tcPr>
          <w:p w:rsidR="00EB5B37" w:rsidRDefault="00EB5B37">
            <w:pPr>
              <w:rPr>
                <w:rFonts w:cs="Times New Roman"/>
                <w:b/>
                <w:bCs/>
                <w:sz w:val="16"/>
                <w:szCs w:val="16"/>
              </w:rPr>
            </w:pPr>
            <w:r>
              <w:rPr>
                <w:rFonts w:cs="Times New Roman"/>
                <w:b/>
                <w:bCs/>
                <w:sz w:val="16"/>
                <w:szCs w:val="16"/>
              </w:rPr>
              <w:t>5.8. Інші операційні доходи/витрати</w:t>
            </w:r>
          </w:p>
        </w:tc>
        <w:tc>
          <w:tcPr>
            <w:tcW w:w="2267" w:type="dxa"/>
            <w:tcBorders>
              <w:top w:val="nil"/>
              <w:left w:val="nil"/>
              <w:bottom w:val="single" w:sz="4" w:space="0" w:color="auto"/>
              <w:right w:val="nil"/>
            </w:tcBorders>
            <w:noWrap/>
          </w:tcPr>
          <w:p w:rsidR="00EB5B37" w:rsidRDefault="00EB5B37">
            <w:pPr>
              <w:rPr>
                <w:rFonts w:cs="Times New Roman"/>
                <w:sz w:val="16"/>
                <w:szCs w:val="16"/>
              </w:rPr>
            </w:pPr>
          </w:p>
          <w:p w:rsidR="00EB5B37" w:rsidRDefault="00EB5B37">
            <w:pPr>
              <w:rPr>
                <w:rFonts w:cs="Times New Roman"/>
                <w:sz w:val="16"/>
                <w:szCs w:val="16"/>
              </w:rPr>
            </w:pPr>
          </w:p>
          <w:p w:rsidR="00EB5B37" w:rsidRDefault="00EB5B37">
            <w:pPr>
              <w:rPr>
                <w:rFonts w:cs="Times New Roman"/>
                <w:sz w:val="16"/>
                <w:szCs w:val="16"/>
              </w:rPr>
            </w:pPr>
          </w:p>
        </w:tc>
        <w:tc>
          <w:tcPr>
            <w:tcW w:w="1151" w:type="dxa"/>
            <w:tcBorders>
              <w:top w:val="nil"/>
              <w:left w:val="nil"/>
              <w:bottom w:val="single" w:sz="4" w:space="0" w:color="auto"/>
              <w:right w:val="nil"/>
            </w:tcBorders>
            <w:noWrap/>
            <w:vAlign w:val="bottom"/>
          </w:tcPr>
          <w:p w:rsidR="00EB5B37" w:rsidRDefault="00EB5B37">
            <w:pPr>
              <w:rPr>
                <w:rFonts w:cs="Times New Roman"/>
                <w:sz w:val="16"/>
                <w:szCs w:val="16"/>
              </w:rPr>
            </w:pPr>
          </w:p>
        </w:tc>
        <w:tc>
          <w:tcPr>
            <w:tcW w:w="2127" w:type="dxa"/>
            <w:tcBorders>
              <w:top w:val="nil"/>
              <w:left w:val="nil"/>
              <w:bottom w:val="single" w:sz="4" w:space="0" w:color="auto"/>
              <w:right w:val="nil"/>
            </w:tcBorders>
            <w:noWrap/>
            <w:vAlign w:val="bottom"/>
          </w:tcPr>
          <w:p w:rsidR="00EB5B37" w:rsidRDefault="00EB5B37">
            <w:pPr>
              <w:rPr>
                <w:rFonts w:cs="Times New Roman"/>
                <w:sz w:val="16"/>
                <w:szCs w:val="16"/>
              </w:rPr>
            </w:pPr>
          </w:p>
        </w:tc>
        <w:tc>
          <w:tcPr>
            <w:tcW w:w="2126" w:type="dxa"/>
            <w:tcBorders>
              <w:top w:val="nil"/>
              <w:left w:val="nil"/>
              <w:bottom w:val="single" w:sz="4" w:space="0" w:color="auto"/>
              <w:right w:val="nil"/>
            </w:tcBorders>
            <w:noWrap/>
            <w:vAlign w:val="bottom"/>
          </w:tcPr>
          <w:p w:rsidR="00EB5B37" w:rsidRDefault="00EB5B37">
            <w:pPr>
              <w:rPr>
                <w:rFonts w:cs="Times New Roman"/>
                <w:sz w:val="16"/>
                <w:szCs w:val="16"/>
              </w:rPr>
            </w:pPr>
          </w:p>
        </w:tc>
      </w:tr>
      <w:tr w:rsidR="00EB5B37">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CCFFCC"/>
            <w:noWrap/>
          </w:tcPr>
          <w:p w:rsidR="00EB5B37" w:rsidRDefault="00EB5B37">
            <w:pPr>
              <w:rPr>
                <w:rFonts w:cs="Times New Roman"/>
                <w:sz w:val="16"/>
                <w:szCs w:val="16"/>
              </w:rPr>
            </w:pPr>
            <w:r>
              <w:rPr>
                <w:rFonts w:cs="Times New Roman"/>
                <w:sz w:val="16"/>
                <w:szCs w:val="16"/>
              </w:rPr>
              <w:t> </w:t>
            </w:r>
          </w:p>
        </w:tc>
        <w:tc>
          <w:tcPr>
            <w:tcW w:w="2127" w:type="dxa"/>
            <w:tcBorders>
              <w:top w:val="single" w:sz="4" w:space="0" w:color="auto"/>
              <w:left w:val="nil"/>
              <w:bottom w:val="single" w:sz="4" w:space="0" w:color="auto"/>
              <w:right w:val="single" w:sz="4" w:space="0" w:color="auto"/>
            </w:tcBorders>
            <w:shd w:val="clear" w:color="auto" w:fill="CCFFCC"/>
            <w:noWrap/>
            <w:vAlign w:val="bottom"/>
          </w:tcPr>
          <w:p w:rsidR="00EB5B37" w:rsidRDefault="00EB5B37">
            <w:pPr>
              <w:rPr>
                <w:rFonts w:cs="Times New Roman"/>
                <w:b/>
                <w:bCs/>
                <w:sz w:val="16"/>
                <w:szCs w:val="16"/>
              </w:rPr>
            </w:pPr>
            <w:r>
              <w:rPr>
                <w:rFonts w:cs="Times New Roman"/>
                <w:b/>
                <w:bCs/>
                <w:sz w:val="16"/>
                <w:szCs w:val="16"/>
              </w:rPr>
              <w:t>2 014р.</w:t>
            </w:r>
          </w:p>
        </w:tc>
        <w:tc>
          <w:tcPr>
            <w:tcW w:w="2126" w:type="dxa"/>
            <w:tcBorders>
              <w:top w:val="single" w:sz="4" w:space="0" w:color="auto"/>
              <w:left w:val="nil"/>
              <w:bottom w:val="single" w:sz="4" w:space="0" w:color="auto"/>
              <w:right w:val="single" w:sz="4" w:space="0" w:color="auto"/>
            </w:tcBorders>
            <w:shd w:val="clear" w:color="auto" w:fill="CCFFCC"/>
            <w:noWrap/>
            <w:vAlign w:val="bottom"/>
          </w:tcPr>
          <w:p w:rsidR="00EB5B37" w:rsidRDefault="00EB5B37">
            <w:pPr>
              <w:rPr>
                <w:rFonts w:cs="Times New Roman"/>
                <w:b/>
                <w:bCs/>
                <w:sz w:val="16"/>
                <w:szCs w:val="16"/>
              </w:rPr>
            </w:pPr>
            <w:r>
              <w:rPr>
                <w:rFonts w:cs="Times New Roman"/>
                <w:b/>
                <w:bCs/>
                <w:sz w:val="16"/>
                <w:szCs w:val="16"/>
              </w:rPr>
              <w:t>2 015р.</w:t>
            </w:r>
          </w:p>
        </w:tc>
      </w:tr>
      <w:tr w:rsidR="00EB5B37">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CCFFCC"/>
            <w:noWrap/>
            <w:vAlign w:val="center"/>
          </w:tcPr>
          <w:p w:rsidR="00EB5B37" w:rsidRDefault="00EB5B37">
            <w:pPr>
              <w:rPr>
                <w:rFonts w:cs="Times New Roman"/>
                <w:sz w:val="16"/>
                <w:szCs w:val="16"/>
              </w:rPr>
            </w:pPr>
            <w:r>
              <w:rPr>
                <w:rFonts w:cs="Times New Roman"/>
                <w:sz w:val="16"/>
                <w:szCs w:val="16"/>
              </w:rPr>
              <w:t>Інші доходи</w:t>
            </w:r>
          </w:p>
        </w:tc>
        <w:tc>
          <w:tcPr>
            <w:tcW w:w="2127" w:type="dxa"/>
            <w:tcBorders>
              <w:top w:val="nil"/>
              <w:left w:val="nil"/>
              <w:bottom w:val="single" w:sz="4" w:space="0" w:color="auto"/>
              <w:right w:val="single" w:sz="4" w:space="0" w:color="auto"/>
            </w:tcBorders>
            <w:noWrap/>
            <w:vAlign w:val="bottom"/>
          </w:tcPr>
          <w:p w:rsidR="00EB5B37" w:rsidRDefault="00EB5B37">
            <w:pPr>
              <w:ind w:firstLine="0"/>
              <w:jc w:val="center"/>
              <w:rPr>
                <w:rFonts w:cs="Times New Roman"/>
                <w:sz w:val="16"/>
                <w:szCs w:val="16"/>
              </w:rPr>
            </w:pPr>
            <w:r>
              <w:rPr>
                <w:rFonts w:cs="Times New Roman"/>
                <w:sz w:val="16"/>
                <w:szCs w:val="16"/>
              </w:rPr>
              <w:t>570</w:t>
            </w:r>
          </w:p>
        </w:tc>
        <w:tc>
          <w:tcPr>
            <w:tcW w:w="2126" w:type="dxa"/>
            <w:tcBorders>
              <w:top w:val="nil"/>
              <w:left w:val="nil"/>
              <w:bottom w:val="single" w:sz="4" w:space="0" w:color="auto"/>
              <w:right w:val="single" w:sz="4" w:space="0" w:color="auto"/>
            </w:tcBorders>
            <w:noWrap/>
            <w:vAlign w:val="bottom"/>
          </w:tcPr>
          <w:p w:rsidR="00EB5B37" w:rsidRDefault="00EB5B37">
            <w:pPr>
              <w:ind w:firstLine="33"/>
              <w:jc w:val="center"/>
              <w:rPr>
                <w:rFonts w:cs="Times New Roman"/>
                <w:sz w:val="16"/>
                <w:szCs w:val="16"/>
              </w:rPr>
            </w:pPr>
            <w:r>
              <w:rPr>
                <w:rFonts w:cs="Times New Roman"/>
                <w:sz w:val="16"/>
                <w:szCs w:val="16"/>
              </w:rPr>
              <w:t>2147</w:t>
            </w:r>
          </w:p>
        </w:tc>
      </w:tr>
      <w:tr w:rsidR="00EB5B37">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CCFFCC"/>
            <w:noWrap/>
            <w:vAlign w:val="center"/>
          </w:tcPr>
          <w:p w:rsidR="00EB5B37" w:rsidRDefault="00EB5B37">
            <w:pPr>
              <w:rPr>
                <w:rFonts w:cs="Times New Roman"/>
                <w:b/>
                <w:bCs/>
                <w:sz w:val="16"/>
                <w:szCs w:val="16"/>
              </w:rPr>
            </w:pPr>
            <w:r>
              <w:rPr>
                <w:rFonts w:cs="Times New Roman"/>
                <w:b/>
                <w:bCs/>
                <w:sz w:val="16"/>
                <w:szCs w:val="16"/>
              </w:rPr>
              <w:t>ВСЬОГО ДОХІД</w:t>
            </w:r>
          </w:p>
        </w:tc>
        <w:tc>
          <w:tcPr>
            <w:tcW w:w="2127" w:type="dxa"/>
            <w:tcBorders>
              <w:top w:val="nil"/>
              <w:left w:val="nil"/>
              <w:bottom w:val="single" w:sz="4" w:space="0" w:color="auto"/>
              <w:right w:val="single" w:sz="4" w:space="0" w:color="auto"/>
            </w:tcBorders>
            <w:noWrap/>
            <w:vAlign w:val="bottom"/>
          </w:tcPr>
          <w:p w:rsidR="00EB5B37" w:rsidRDefault="00EB5B37">
            <w:pPr>
              <w:ind w:firstLine="0"/>
              <w:jc w:val="center"/>
              <w:rPr>
                <w:rFonts w:cs="Times New Roman"/>
                <w:b/>
                <w:bCs/>
                <w:sz w:val="16"/>
                <w:szCs w:val="16"/>
              </w:rPr>
            </w:pPr>
            <w:r>
              <w:rPr>
                <w:rFonts w:cs="Times New Roman"/>
                <w:b/>
                <w:bCs/>
                <w:sz w:val="16"/>
                <w:szCs w:val="16"/>
              </w:rPr>
              <w:t>570</w:t>
            </w:r>
          </w:p>
        </w:tc>
        <w:tc>
          <w:tcPr>
            <w:tcW w:w="2126" w:type="dxa"/>
            <w:tcBorders>
              <w:top w:val="nil"/>
              <w:left w:val="nil"/>
              <w:bottom w:val="single" w:sz="4" w:space="0" w:color="auto"/>
              <w:right w:val="single" w:sz="4" w:space="0" w:color="auto"/>
            </w:tcBorders>
            <w:noWrap/>
            <w:vAlign w:val="bottom"/>
          </w:tcPr>
          <w:p w:rsidR="00EB5B37" w:rsidRDefault="00EB5B37">
            <w:pPr>
              <w:ind w:firstLine="33"/>
              <w:jc w:val="center"/>
              <w:rPr>
                <w:rFonts w:cs="Times New Roman"/>
                <w:b/>
                <w:bCs/>
                <w:sz w:val="16"/>
                <w:szCs w:val="16"/>
              </w:rPr>
            </w:pPr>
            <w:r>
              <w:rPr>
                <w:rFonts w:cs="Times New Roman"/>
                <w:b/>
                <w:bCs/>
                <w:sz w:val="16"/>
                <w:szCs w:val="16"/>
              </w:rPr>
              <w:t>2147</w:t>
            </w:r>
          </w:p>
        </w:tc>
      </w:tr>
      <w:tr w:rsidR="00EB5B37">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CCFFCC"/>
            <w:noWrap/>
            <w:vAlign w:val="center"/>
          </w:tcPr>
          <w:p w:rsidR="00EB5B37" w:rsidRDefault="00EB5B37">
            <w:pPr>
              <w:rPr>
                <w:rFonts w:cs="Times New Roman"/>
                <w:sz w:val="16"/>
                <w:szCs w:val="16"/>
              </w:rPr>
            </w:pPr>
            <w:r>
              <w:rPr>
                <w:rFonts w:cs="Times New Roman"/>
                <w:sz w:val="16"/>
                <w:szCs w:val="16"/>
              </w:rPr>
              <w:t>Амортизація основних засобів</w:t>
            </w:r>
          </w:p>
        </w:tc>
        <w:tc>
          <w:tcPr>
            <w:tcW w:w="2127" w:type="dxa"/>
            <w:tcBorders>
              <w:top w:val="nil"/>
              <w:left w:val="nil"/>
              <w:bottom w:val="single" w:sz="4" w:space="0" w:color="auto"/>
              <w:right w:val="single" w:sz="4" w:space="0" w:color="auto"/>
            </w:tcBorders>
            <w:noWrap/>
            <w:vAlign w:val="bottom"/>
          </w:tcPr>
          <w:p w:rsidR="00EB5B37" w:rsidRDefault="00EB5B37">
            <w:pPr>
              <w:ind w:firstLine="0"/>
              <w:jc w:val="center"/>
              <w:rPr>
                <w:rFonts w:cs="Times New Roman"/>
                <w:sz w:val="16"/>
                <w:szCs w:val="16"/>
              </w:rPr>
            </w:pPr>
            <w:r>
              <w:rPr>
                <w:rFonts w:cs="Times New Roman"/>
                <w:sz w:val="16"/>
                <w:szCs w:val="16"/>
              </w:rPr>
              <w:t>-</w:t>
            </w:r>
          </w:p>
        </w:tc>
        <w:tc>
          <w:tcPr>
            <w:tcW w:w="2126" w:type="dxa"/>
            <w:tcBorders>
              <w:top w:val="nil"/>
              <w:left w:val="nil"/>
              <w:bottom w:val="single" w:sz="4" w:space="0" w:color="auto"/>
              <w:right w:val="single" w:sz="4" w:space="0" w:color="auto"/>
            </w:tcBorders>
            <w:noWrap/>
            <w:vAlign w:val="bottom"/>
          </w:tcPr>
          <w:p w:rsidR="00EB5B37" w:rsidRDefault="00EB5B37">
            <w:pPr>
              <w:ind w:firstLine="33"/>
              <w:jc w:val="center"/>
              <w:rPr>
                <w:rFonts w:cs="Times New Roman"/>
                <w:sz w:val="16"/>
                <w:szCs w:val="16"/>
              </w:rPr>
            </w:pPr>
            <w:r>
              <w:rPr>
                <w:rFonts w:cs="Times New Roman"/>
                <w:sz w:val="16"/>
                <w:szCs w:val="16"/>
              </w:rPr>
              <w:t>-</w:t>
            </w:r>
          </w:p>
        </w:tc>
      </w:tr>
      <w:tr w:rsidR="00EB5B37">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CCFFCC"/>
            <w:vAlign w:val="center"/>
          </w:tcPr>
          <w:p w:rsidR="00EB5B37" w:rsidRDefault="00EB5B37">
            <w:pPr>
              <w:rPr>
                <w:rFonts w:cs="Times New Roman"/>
                <w:sz w:val="16"/>
                <w:szCs w:val="16"/>
              </w:rPr>
            </w:pPr>
            <w:r>
              <w:rPr>
                <w:rFonts w:cs="Times New Roman"/>
                <w:sz w:val="16"/>
                <w:szCs w:val="16"/>
              </w:rPr>
              <w:t>Інші витрати</w:t>
            </w:r>
          </w:p>
        </w:tc>
        <w:tc>
          <w:tcPr>
            <w:tcW w:w="2127" w:type="dxa"/>
            <w:tcBorders>
              <w:top w:val="nil"/>
              <w:left w:val="nil"/>
              <w:bottom w:val="single" w:sz="4" w:space="0" w:color="auto"/>
              <w:right w:val="single" w:sz="4" w:space="0" w:color="auto"/>
            </w:tcBorders>
            <w:noWrap/>
            <w:vAlign w:val="bottom"/>
          </w:tcPr>
          <w:p w:rsidR="00EB5B37" w:rsidRDefault="00EB5B37">
            <w:pPr>
              <w:ind w:firstLine="0"/>
              <w:jc w:val="center"/>
              <w:rPr>
                <w:rFonts w:cs="Times New Roman"/>
                <w:sz w:val="16"/>
                <w:szCs w:val="16"/>
              </w:rPr>
            </w:pPr>
            <w:r>
              <w:rPr>
                <w:rFonts w:cs="Times New Roman"/>
                <w:sz w:val="16"/>
                <w:szCs w:val="16"/>
              </w:rPr>
              <w:t>(440)</w:t>
            </w:r>
          </w:p>
        </w:tc>
        <w:tc>
          <w:tcPr>
            <w:tcW w:w="2126" w:type="dxa"/>
            <w:tcBorders>
              <w:top w:val="nil"/>
              <w:left w:val="nil"/>
              <w:bottom w:val="single" w:sz="4" w:space="0" w:color="auto"/>
              <w:right w:val="single" w:sz="4" w:space="0" w:color="auto"/>
            </w:tcBorders>
            <w:noWrap/>
            <w:vAlign w:val="bottom"/>
          </w:tcPr>
          <w:p w:rsidR="00EB5B37" w:rsidRDefault="00EB5B37">
            <w:pPr>
              <w:ind w:firstLine="33"/>
              <w:jc w:val="center"/>
              <w:rPr>
                <w:rFonts w:cs="Times New Roman"/>
                <w:sz w:val="16"/>
                <w:szCs w:val="16"/>
              </w:rPr>
            </w:pPr>
            <w:r>
              <w:rPr>
                <w:rFonts w:cs="Times New Roman"/>
                <w:sz w:val="16"/>
                <w:szCs w:val="16"/>
              </w:rPr>
              <w:t>(1340)</w:t>
            </w:r>
          </w:p>
        </w:tc>
      </w:tr>
      <w:tr w:rsidR="00EB5B37">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CCFFCC"/>
            <w:noWrap/>
            <w:vAlign w:val="center"/>
          </w:tcPr>
          <w:p w:rsidR="00EB5B37" w:rsidRDefault="00EB5B37">
            <w:pPr>
              <w:rPr>
                <w:rFonts w:cs="Times New Roman"/>
                <w:b/>
                <w:bCs/>
                <w:sz w:val="16"/>
                <w:szCs w:val="16"/>
              </w:rPr>
            </w:pPr>
            <w:r>
              <w:rPr>
                <w:rFonts w:cs="Times New Roman"/>
                <w:b/>
                <w:bCs/>
                <w:sz w:val="16"/>
                <w:szCs w:val="16"/>
              </w:rPr>
              <w:t>ВСЬОГО ВИТРАТИ</w:t>
            </w:r>
          </w:p>
        </w:tc>
        <w:tc>
          <w:tcPr>
            <w:tcW w:w="2127" w:type="dxa"/>
            <w:tcBorders>
              <w:top w:val="nil"/>
              <w:left w:val="nil"/>
              <w:bottom w:val="single" w:sz="4" w:space="0" w:color="auto"/>
              <w:right w:val="single" w:sz="4" w:space="0" w:color="auto"/>
            </w:tcBorders>
            <w:noWrap/>
            <w:vAlign w:val="bottom"/>
          </w:tcPr>
          <w:p w:rsidR="00EB5B37" w:rsidRDefault="00EB5B37">
            <w:pPr>
              <w:ind w:firstLine="0"/>
              <w:jc w:val="center"/>
              <w:rPr>
                <w:rFonts w:cs="Times New Roman"/>
                <w:b/>
                <w:bCs/>
                <w:sz w:val="16"/>
                <w:szCs w:val="16"/>
              </w:rPr>
            </w:pPr>
            <w:r>
              <w:rPr>
                <w:rFonts w:cs="Times New Roman"/>
                <w:b/>
                <w:bCs/>
                <w:sz w:val="16"/>
                <w:szCs w:val="16"/>
              </w:rPr>
              <w:t>(440)</w:t>
            </w:r>
          </w:p>
        </w:tc>
        <w:tc>
          <w:tcPr>
            <w:tcW w:w="2126" w:type="dxa"/>
            <w:tcBorders>
              <w:top w:val="nil"/>
              <w:left w:val="nil"/>
              <w:bottom w:val="single" w:sz="4" w:space="0" w:color="auto"/>
              <w:right w:val="single" w:sz="4" w:space="0" w:color="auto"/>
            </w:tcBorders>
            <w:noWrap/>
            <w:vAlign w:val="bottom"/>
          </w:tcPr>
          <w:p w:rsidR="00EB5B37" w:rsidRDefault="00EB5B37">
            <w:pPr>
              <w:ind w:firstLine="33"/>
              <w:jc w:val="center"/>
              <w:rPr>
                <w:rFonts w:cs="Times New Roman"/>
                <w:b/>
                <w:bCs/>
                <w:sz w:val="16"/>
                <w:szCs w:val="16"/>
              </w:rPr>
            </w:pPr>
            <w:r>
              <w:rPr>
                <w:rFonts w:cs="Times New Roman"/>
                <w:b/>
                <w:bCs/>
                <w:sz w:val="16"/>
                <w:szCs w:val="16"/>
              </w:rPr>
              <w:t>(1340)</w:t>
            </w:r>
          </w:p>
        </w:tc>
      </w:tr>
    </w:tbl>
    <w:p w:rsidR="00EB5B37" w:rsidRDefault="00EB5B37">
      <w:pPr>
        <w:rPr>
          <w:rFonts w:cs="Times New Roman"/>
          <w:b/>
          <w:bCs/>
          <w:sz w:val="16"/>
          <w:szCs w:val="16"/>
          <w:lang w:val="ru-RU"/>
        </w:rPr>
      </w:pPr>
    </w:p>
    <w:tbl>
      <w:tblPr>
        <w:tblW w:w="9938" w:type="dxa"/>
        <w:tblInd w:w="2" w:type="dxa"/>
        <w:tblLayout w:type="fixed"/>
        <w:tblLook w:val="0000"/>
      </w:tblPr>
      <w:tblGrid>
        <w:gridCol w:w="3480"/>
        <w:gridCol w:w="2205"/>
        <w:gridCol w:w="2127"/>
        <w:gridCol w:w="2126"/>
      </w:tblGrid>
      <w:tr w:rsidR="00EB5B37">
        <w:trPr>
          <w:trHeight w:val="300"/>
        </w:trPr>
        <w:tc>
          <w:tcPr>
            <w:tcW w:w="3480" w:type="dxa"/>
            <w:tcBorders>
              <w:top w:val="nil"/>
              <w:left w:val="nil"/>
              <w:bottom w:val="single" w:sz="4" w:space="0" w:color="auto"/>
              <w:right w:val="nil"/>
            </w:tcBorders>
            <w:noWrap/>
            <w:vAlign w:val="center"/>
          </w:tcPr>
          <w:p w:rsidR="00EB5B37" w:rsidRDefault="00EB5B37">
            <w:pPr>
              <w:rPr>
                <w:rFonts w:cs="Times New Roman"/>
                <w:b/>
                <w:bCs/>
                <w:sz w:val="16"/>
                <w:szCs w:val="16"/>
              </w:rPr>
            </w:pPr>
            <w:r>
              <w:rPr>
                <w:rFonts w:cs="Times New Roman"/>
                <w:b/>
                <w:bCs/>
                <w:sz w:val="16"/>
                <w:szCs w:val="16"/>
              </w:rPr>
              <w:t>5.9. Інші доходи/витрати</w:t>
            </w:r>
          </w:p>
        </w:tc>
        <w:tc>
          <w:tcPr>
            <w:tcW w:w="2205" w:type="dxa"/>
            <w:tcBorders>
              <w:top w:val="nil"/>
              <w:left w:val="nil"/>
              <w:bottom w:val="single" w:sz="4" w:space="0" w:color="auto"/>
              <w:right w:val="nil"/>
            </w:tcBorders>
            <w:noWrap/>
            <w:vAlign w:val="bottom"/>
          </w:tcPr>
          <w:p w:rsidR="00EB5B37" w:rsidRDefault="00EB5B37">
            <w:pPr>
              <w:rPr>
                <w:rFonts w:cs="Times New Roman"/>
                <w:sz w:val="16"/>
                <w:szCs w:val="16"/>
              </w:rPr>
            </w:pPr>
          </w:p>
        </w:tc>
        <w:tc>
          <w:tcPr>
            <w:tcW w:w="2127" w:type="dxa"/>
            <w:tcBorders>
              <w:top w:val="nil"/>
              <w:left w:val="nil"/>
              <w:bottom w:val="single" w:sz="4" w:space="0" w:color="auto"/>
              <w:right w:val="nil"/>
            </w:tcBorders>
            <w:noWrap/>
            <w:vAlign w:val="bottom"/>
          </w:tcPr>
          <w:p w:rsidR="00EB5B37" w:rsidRDefault="00EB5B37">
            <w:pPr>
              <w:rPr>
                <w:rFonts w:cs="Times New Roman"/>
                <w:sz w:val="16"/>
                <w:szCs w:val="16"/>
              </w:rPr>
            </w:pPr>
          </w:p>
        </w:tc>
        <w:tc>
          <w:tcPr>
            <w:tcW w:w="2126" w:type="dxa"/>
            <w:tcBorders>
              <w:top w:val="nil"/>
              <w:left w:val="nil"/>
              <w:bottom w:val="single" w:sz="4" w:space="0" w:color="auto"/>
              <w:right w:val="nil"/>
            </w:tcBorders>
            <w:noWrap/>
            <w:vAlign w:val="bottom"/>
          </w:tcPr>
          <w:p w:rsidR="00EB5B37" w:rsidRDefault="00EB5B37">
            <w:pPr>
              <w:rPr>
                <w:rFonts w:cs="Times New Roman"/>
                <w:sz w:val="16"/>
                <w:szCs w:val="16"/>
              </w:rPr>
            </w:pPr>
          </w:p>
        </w:tc>
      </w:tr>
      <w:tr w:rsidR="00EB5B37">
        <w:trPr>
          <w:trHeight w:val="300"/>
        </w:trPr>
        <w:tc>
          <w:tcPr>
            <w:tcW w:w="5685"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tcPr>
          <w:p w:rsidR="00EB5B37" w:rsidRDefault="00EB5B37">
            <w:pPr>
              <w:rPr>
                <w:rFonts w:cs="Times New Roman"/>
                <w:b/>
                <w:bCs/>
                <w:sz w:val="16"/>
                <w:szCs w:val="16"/>
              </w:rPr>
            </w:pPr>
            <w:r>
              <w:rPr>
                <w:rFonts w:cs="Times New Roman"/>
                <w:b/>
                <w:bCs/>
                <w:sz w:val="16"/>
                <w:szCs w:val="16"/>
              </w:rPr>
              <w:t> </w:t>
            </w:r>
          </w:p>
        </w:tc>
        <w:tc>
          <w:tcPr>
            <w:tcW w:w="2127" w:type="dxa"/>
            <w:tcBorders>
              <w:top w:val="single" w:sz="4" w:space="0" w:color="auto"/>
              <w:left w:val="nil"/>
              <w:bottom w:val="single" w:sz="4" w:space="0" w:color="auto"/>
              <w:right w:val="single" w:sz="4" w:space="0" w:color="auto"/>
            </w:tcBorders>
            <w:shd w:val="clear" w:color="auto" w:fill="CCFFCC"/>
            <w:noWrap/>
            <w:vAlign w:val="bottom"/>
          </w:tcPr>
          <w:p w:rsidR="00EB5B37" w:rsidRDefault="00EB5B37">
            <w:pPr>
              <w:rPr>
                <w:rFonts w:cs="Times New Roman"/>
                <w:b/>
                <w:bCs/>
                <w:sz w:val="16"/>
                <w:szCs w:val="16"/>
              </w:rPr>
            </w:pPr>
            <w:r>
              <w:rPr>
                <w:rFonts w:cs="Times New Roman"/>
                <w:b/>
                <w:bCs/>
                <w:sz w:val="16"/>
                <w:szCs w:val="16"/>
              </w:rPr>
              <w:t>2 014р.</w:t>
            </w:r>
          </w:p>
        </w:tc>
        <w:tc>
          <w:tcPr>
            <w:tcW w:w="2126" w:type="dxa"/>
            <w:tcBorders>
              <w:top w:val="single" w:sz="4" w:space="0" w:color="auto"/>
              <w:left w:val="nil"/>
              <w:bottom w:val="single" w:sz="4" w:space="0" w:color="auto"/>
              <w:right w:val="single" w:sz="4" w:space="0" w:color="auto"/>
            </w:tcBorders>
            <w:shd w:val="clear" w:color="auto" w:fill="CCFFCC"/>
            <w:noWrap/>
            <w:vAlign w:val="bottom"/>
          </w:tcPr>
          <w:p w:rsidR="00EB5B37" w:rsidRDefault="00EB5B37">
            <w:pPr>
              <w:rPr>
                <w:rFonts w:cs="Times New Roman"/>
                <w:b/>
                <w:bCs/>
                <w:sz w:val="16"/>
                <w:szCs w:val="16"/>
              </w:rPr>
            </w:pPr>
            <w:r>
              <w:rPr>
                <w:rFonts w:cs="Times New Roman"/>
                <w:b/>
                <w:bCs/>
                <w:sz w:val="16"/>
                <w:szCs w:val="16"/>
              </w:rPr>
              <w:t>2 015р.</w:t>
            </w:r>
          </w:p>
        </w:tc>
      </w:tr>
      <w:tr w:rsidR="00EB5B37">
        <w:trPr>
          <w:trHeight w:val="300"/>
        </w:trPr>
        <w:tc>
          <w:tcPr>
            <w:tcW w:w="5685"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tcPr>
          <w:p w:rsidR="00EB5B37" w:rsidRDefault="00EB5B37">
            <w:pPr>
              <w:rPr>
                <w:rFonts w:cs="Times New Roman"/>
                <w:sz w:val="16"/>
                <w:szCs w:val="16"/>
              </w:rPr>
            </w:pPr>
            <w:r>
              <w:rPr>
                <w:rFonts w:cs="Times New Roman"/>
                <w:sz w:val="16"/>
                <w:szCs w:val="16"/>
              </w:rPr>
              <w:t>Інші доходи</w:t>
            </w:r>
          </w:p>
        </w:tc>
        <w:tc>
          <w:tcPr>
            <w:tcW w:w="2127"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0</w:t>
            </w:r>
          </w:p>
        </w:tc>
        <w:tc>
          <w:tcPr>
            <w:tcW w:w="2126"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0</w:t>
            </w:r>
          </w:p>
        </w:tc>
      </w:tr>
      <w:tr w:rsidR="00EB5B37">
        <w:trPr>
          <w:trHeight w:val="300"/>
        </w:trPr>
        <w:tc>
          <w:tcPr>
            <w:tcW w:w="5685"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tcPr>
          <w:p w:rsidR="00EB5B37" w:rsidRDefault="00EB5B37">
            <w:pPr>
              <w:rPr>
                <w:rFonts w:cs="Times New Roman"/>
                <w:sz w:val="16"/>
                <w:szCs w:val="16"/>
              </w:rPr>
            </w:pPr>
            <w:r>
              <w:rPr>
                <w:rFonts w:cs="Times New Roman"/>
                <w:sz w:val="16"/>
                <w:szCs w:val="16"/>
              </w:rPr>
              <w:t>Фінансові витрати</w:t>
            </w:r>
          </w:p>
        </w:tc>
        <w:tc>
          <w:tcPr>
            <w:tcW w:w="2127" w:type="dxa"/>
            <w:tcBorders>
              <w:top w:val="nil"/>
              <w:left w:val="nil"/>
              <w:bottom w:val="single" w:sz="4" w:space="0" w:color="auto"/>
              <w:right w:val="single" w:sz="4" w:space="0" w:color="auto"/>
            </w:tcBorders>
            <w:noWrap/>
            <w:vAlign w:val="center"/>
          </w:tcPr>
          <w:p w:rsidR="00EB5B37" w:rsidRDefault="00EB5B37">
            <w:pPr>
              <w:ind w:firstLine="34"/>
              <w:jc w:val="center"/>
              <w:rPr>
                <w:rFonts w:cs="Times New Roman"/>
                <w:sz w:val="16"/>
                <w:szCs w:val="16"/>
              </w:rPr>
            </w:pPr>
            <w:r>
              <w:rPr>
                <w:rFonts w:cs="Times New Roman"/>
                <w:sz w:val="16"/>
                <w:szCs w:val="16"/>
              </w:rPr>
              <w:t>(78)</w:t>
            </w:r>
          </w:p>
        </w:tc>
        <w:tc>
          <w:tcPr>
            <w:tcW w:w="2126" w:type="dxa"/>
            <w:tcBorders>
              <w:top w:val="nil"/>
              <w:left w:val="nil"/>
              <w:bottom w:val="single" w:sz="4" w:space="0" w:color="auto"/>
              <w:right w:val="single" w:sz="4" w:space="0" w:color="auto"/>
            </w:tcBorders>
            <w:noWrap/>
            <w:vAlign w:val="bottom"/>
          </w:tcPr>
          <w:p w:rsidR="00EB5B37" w:rsidRDefault="00EB5B37">
            <w:pPr>
              <w:ind w:firstLine="34"/>
              <w:jc w:val="center"/>
              <w:rPr>
                <w:rFonts w:cs="Times New Roman"/>
                <w:sz w:val="16"/>
                <w:szCs w:val="16"/>
              </w:rPr>
            </w:pPr>
            <w:r>
              <w:rPr>
                <w:rFonts w:cs="Times New Roman"/>
                <w:sz w:val="16"/>
                <w:szCs w:val="16"/>
              </w:rPr>
              <w:t>(11</w:t>
            </w:r>
            <w:r>
              <w:rPr>
                <w:rFonts w:cs="Times New Roman"/>
                <w:sz w:val="16"/>
                <w:szCs w:val="16"/>
                <w:lang w:val="ru-RU"/>
              </w:rPr>
              <w:t>0</w:t>
            </w:r>
            <w:r>
              <w:rPr>
                <w:rFonts w:cs="Times New Roman"/>
                <w:sz w:val="16"/>
                <w:szCs w:val="16"/>
              </w:rPr>
              <w:t>)</w:t>
            </w:r>
          </w:p>
        </w:tc>
      </w:tr>
    </w:tbl>
    <w:p w:rsidR="00EB5B37" w:rsidRDefault="00EB5B37">
      <w:pPr>
        <w:ind w:firstLine="0"/>
        <w:rPr>
          <w:rFonts w:cs="Times New Roman"/>
          <w:sz w:val="16"/>
          <w:szCs w:val="16"/>
        </w:rPr>
      </w:pPr>
    </w:p>
    <w:p w:rsidR="00EB5B37" w:rsidRDefault="00EB5B37">
      <w:pPr>
        <w:ind w:firstLine="0"/>
        <w:rPr>
          <w:rFonts w:cs="Times New Roman"/>
          <w:sz w:val="16"/>
          <w:szCs w:val="16"/>
        </w:rPr>
      </w:pPr>
    </w:p>
    <w:p w:rsidR="00EB5B37" w:rsidRDefault="00EB5B37">
      <w:pPr>
        <w:rPr>
          <w:rFonts w:cs="Times New Roman"/>
          <w:sz w:val="16"/>
          <w:szCs w:val="16"/>
        </w:rPr>
      </w:pPr>
      <w:r>
        <w:rPr>
          <w:rFonts w:cs="Times New Roman"/>
          <w:sz w:val="16"/>
          <w:szCs w:val="16"/>
        </w:rPr>
        <w:t>Голова правлiння __________________</w:t>
      </w:r>
    </w:p>
    <w:p w:rsidR="00EB5B37" w:rsidRDefault="00EB5B37">
      <w:pPr>
        <w:rPr>
          <w:rFonts w:cs="Times New Roman"/>
          <w:sz w:val="16"/>
          <w:szCs w:val="16"/>
        </w:rPr>
      </w:pPr>
    </w:p>
    <w:p w:rsidR="00EB5B37" w:rsidRDefault="00EB5B37">
      <w:pPr>
        <w:rPr>
          <w:rFonts w:cs="Times New Roman"/>
          <w:sz w:val="16"/>
          <w:szCs w:val="16"/>
        </w:rPr>
      </w:pPr>
    </w:p>
    <w:p w:rsidR="00EB5B37" w:rsidRDefault="00EB5B37">
      <w:pPr>
        <w:rPr>
          <w:rFonts w:cs="Times New Roman"/>
          <w:sz w:val="16"/>
          <w:szCs w:val="16"/>
        </w:rPr>
      </w:pPr>
      <w:r>
        <w:rPr>
          <w:rFonts w:cs="Times New Roman"/>
          <w:sz w:val="16"/>
          <w:szCs w:val="16"/>
        </w:rPr>
        <w:t>Головний бухгалтер ___________________</w:t>
      </w:r>
    </w:p>
    <w:sectPr w:rsidR="00EB5B37" w:rsidSect="00EB5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C7DF1"/>
    <w:multiLevelType w:val="hybridMultilevel"/>
    <w:tmpl w:val="B7ACF5D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
    <w:nsid w:val="47D9246F"/>
    <w:multiLevelType w:val="hybridMultilevel"/>
    <w:tmpl w:val="C31EFC36"/>
    <w:lvl w:ilvl="0" w:tplc="346C5F56">
      <w:start w:val="1"/>
      <w:numFmt w:val="decimal"/>
      <w:lvlText w:val="%1."/>
      <w:lvlJc w:val="left"/>
      <w:pPr>
        <w:ind w:left="927" w:hanging="360"/>
      </w:pPr>
      <w:rPr>
        <w:rFonts w:ascii="Times New Roman" w:hAnsi="Times New Roman" w:cs="Times New Roman" w:hint="default"/>
      </w:rPr>
    </w:lvl>
    <w:lvl w:ilvl="1" w:tplc="04220019">
      <w:start w:val="1"/>
      <w:numFmt w:val="lowerLetter"/>
      <w:lvlText w:val="%2."/>
      <w:lvlJc w:val="left"/>
      <w:pPr>
        <w:ind w:left="1647" w:hanging="360"/>
      </w:pPr>
      <w:rPr>
        <w:rFonts w:ascii="Times New Roman" w:hAnsi="Times New Roman" w:cs="Times New Roman"/>
      </w:rPr>
    </w:lvl>
    <w:lvl w:ilvl="2" w:tplc="0422001B">
      <w:start w:val="1"/>
      <w:numFmt w:val="lowerRoman"/>
      <w:lvlText w:val="%3."/>
      <w:lvlJc w:val="right"/>
      <w:pPr>
        <w:ind w:left="2367" w:hanging="180"/>
      </w:pPr>
      <w:rPr>
        <w:rFonts w:ascii="Times New Roman" w:hAnsi="Times New Roman" w:cs="Times New Roman"/>
      </w:rPr>
    </w:lvl>
    <w:lvl w:ilvl="3" w:tplc="0422000F">
      <w:start w:val="1"/>
      <w:numFmt w:val="decimal"/>
      <w:lvlText w:val="%4."/>
      <w:lvlJc w:val="left"/>
      <w:pPr>
        <w:ind w:left="3087" w:hanging="360"/>
      </w:pPr>
      <w:rPr>
        <w:rFonts w:ascii="Times New Roman" w:hAnsi="Times New Roman" w:cs="Times New Roman"/>
      </w:rPr>
    </w:lvl>
    <w:lvl w:ilvl="4" w:tplc="04220019">
      <w:start w:val="1"/>
      <w:numFmt w:val="lowerLetter"/>
      <w:lvlText w:val="%5."/>
      <w:lvlJc w:val="left"/>
      <w:pPr>
        <w:ind w:left="3807" w:hanging="360"/>
      </w:pPr>
      <w:rPr>
        <w:rFonts w:ascii="Times New Roman" w:hAnsi="Times New Roman" w:cs="Times New Roman"/>
      </w:rPr>
    </w:lvl>
    <w:lvl w:ilvl="5" w:tplc="0422001B">
      <w:start w:val="1"/>
      <w:numFmt w:val="lowerRoman"/>
      <w:lvlText w:val="%6."/>
      <w:lvlJc w:val="right"/>
      <w:pPr>
        <w:ind w:left="4527" w:hanging="180"/>
      </w:pPr>
      <w:rPr>
        <w:rFonts w:ascii="Times New Roman" w:hAnsi="Times New Roman" w:cs="Times New Roman"/>
      </w:rPr>
    </w:lvl>
    <w:lvl w:ilvl="6" w:tplc="0422000F">
      <w:start w:val="1"/>
      <w:numFmt w:val="decimal"/>
      <w:lvlText w:val="%7."/>
      <w:lvlJc w:val="left"/>
      <w:pPr>
        <w:ind w:left="5247" w:hanging="360"/>
      </w:pPr>
      <w:rPr>
        <w:rFonts w:ascii="Times New Roman" w:hAnsi="Times New Roman" w:cs="Times New Roman"/>
      </w:rPr>
    </w:lvl>
    <w:lvl w:ilvl="7" w:tplc="04220019">
      <w:start w:val="1"/>
      <w:numFmt w:val="lowerLetter"/>
      <w:lvlText w:val="%8."/>
      <w:lvlJc w:val="left"/>
      <w:pPr>
        <w:ind w:left="5967" w:hanging="360"/>
      </w:pPr>
      <w:rPr>
        <w:rFonts w:ascii="Times New Roman" w:hAnsi="Times New Roman" w:cs="Times New Roman"/>
      </w:rPr>
    </w:lvl>
    <w:lvl w:ilvl="8" w:tplc="0422001B">
      <w:start w:val="1"/>
      <w:numFmt w:val="lowerRoman"/>
      <w:lvlText w:val="%9."/>
      <w:lvlJc w:val="right"/>
      <w:pPr>
        <w:ind w:left="6687" w:hanging="180"/>
      </w:pPr>
      <w:rPr>
        <w:rFonts w:ascii="Times New Roman" w:hAnsi="Times New Roman" w:cs="Times New Roman"/>
      </w:rPr>
    </w:lvl>
  </w:abstractNum>
  <w:abstractNum w:abstractNumId="2">
    <w:nsid w:val="52B82661"/>
    <w:multiLevelType w:val="hybridMultilevel"/>
    <w:tmpl w:val="B47EF52A"/>
    <w:lvl w:ilvl="0" w:tplc="EF3EDA92">
      <w:start w:val="5"/>
      <w:numFmt w:val="decimal"/>
      <w:lvlText w:val="%1."/>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3">
    <w:nsid w:val="6A883F95"/>
    <w:multiLevelType w:val="hybridMultilevel"/>
    <w:tmpl w:val="2BAE3ACA"/>
    <w:lvl w:ilvl="0" w:tplc="F5E8615A">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B37"/>
    <w:rsid w:val="00EB5B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567"/>
      <w:jc w:val="both"/>
    </w:pPr>
    <w:rPr>
      <w:rFonts w:ascii="Times New Roman" w:hAnsi="Times New Roman"/>
      <w:sz w:val="24"/>
      <w:szCs w:val="24"/>
      <w:lang w:val="uk-UA"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2914</Words>
  <Characters>16615</Characters>
  <Application>Microsoft Office Outlook</Application>
  <DocSecurity>0</DocSecurity>
  <Lines>0</Lines>
  <Paragraphs>0</Paragraphs>
  <ScaleCrop>false</ScaleCrop>
  <Company>KOPTA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Примiтки до рiчної фiнансової звiтностi</dc:title>
  <dc:subject/>
  <dc:creator>Администратор</dc:creator>
  <cp:keywords/>
  <dc:description/>
  <cp:lastModifiedBy>KOPTA</cp:lastModifiedBy>
  <cp:revision>3</cp:revision>
  <cp:lastPrinted>2015-04-01T05:45:00Z</cp:lastPrinted>
  <dcterms:created xsi:type="dcterms:W3CDTF">2016-03-21T08:41:00Z</dcterms:created>
  <dcterms:modified xsi:type="dcterms:W3CDTF">2016-03-21T08:42:00Z</dcterms:modified>
</cp:coreProperties>
</file>